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0.0 -->
  <w:body>
    <w:p w:rsidR="000B7810" w:rsidRPr="00B43CA3" w:rsidP="004F234D">
      <w:pPr>
        <w:tabs>
          <w:tab w:val="left" w:leader="underscore" w:pos="9639"/>
        </w:tabs>
        <w:spacing w:after="0" w:line="240" w:lineRule="auto"/>
        <w:ind w:left="9639" w:hanging="9639"/>
        <w:jc w:val="center"/>
        <w:rPr>
          <w:rStyle w:val="SubtleEmphasis"/>
        </w:rPr>
      </w:pPr>
      <w:bookmarkStart w:id="0" w:name="_GoBack"/>
      <w:bookmarkEnd w:id="0"/>
    </w:p>
    <w:p w:rsidR="000B7810" w:rsidRPr="00657009" w:rsidP="00CB41C4">
      <w:pPr>
        <w:tabs>
          <w:tab w:val="left" w:leader="underscore" w:pos="9639"/>
        </w:tabs>
        <w:spacing w:after="0" w:line="240" w:lineRule="auto"/>
        <w:jc w:val="center"/>
        <w:rPr>
          <w:rFonts w:ascii="Times New Roman" w:hAnsi="Times New Roman"/>
          <w:sz w:val="24"/>
          <w:szCs w:val="24"/>
        </w:rPr>
      </w:pPr>
    </w:p>
    <w:p w:rsidR="007D1E76" w:rsidRPr="00E74967" w:rsidP="00CB41C4">
      <w:pPr>
        <w:tabs>
          <w:tab w:val="left" w:leader="underscore" w:pos="9639"/>
        </w:tabs>
        <w:spacing w:after="0" w:line="240" w:lineRule="auto"/>
        <w:jc w:val="center"/>
        <w:rPr>
          <w:rFonts w:cs="Calibri"/>
          <w:b/>
          <w:sz w:val="28"/>
          <w:szCs w:val="28"/>
        </w:rPr>
      </w:pPr>
      <w:hyperlink r:id="rId8" w:history="1">
        <w:r w:rsidRPr="00E74967">
          <w:rPr>
            <w:rStyle w:val="Hyperlink"/>
            <w:rFonts w:cs="Calibri"/>
            <w:b/>
            <w:sz w:val="28"/>
            <w:szCs w:val="28"/>
          </w:rPr>
          <w:t>NOTAS DE GESTIÓN ADMINISTRATIVA</w:t>
        </w:r>
      </w:hyperlink>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Pr="00E74967" w:rsidR="00E00323">
        <w:rPr>
          <w:rFonts w:cs="Calibri"/>
        </w:rPr>
        <w:t xml:space="preserve"> Congreso y a los ciudadanos.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Pr="00E74967" w:rsidR="00E00323">
        <w:rPr>
          <w:rFonts w:cs="Calibri"/>
        </w:rPr>
        <w:t>ismos y sus particularidades.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Pr="00E74967" w:rsidR="00E00323">
        <w:rPr>
          <w:rFonts w:cs="Calibri"/>
        </w:rPr>
        <w:t>ones en períodos posteriores.</w:t>
      </w:r>
    </w:p>
    <w:p w:rsidR="007D1E76" w:rsidRPr="00E74967" w:rsidP="00CB41C4">
      <w:pPr>
        <w:pStyle w:val="ListParagraph"/>
        <w:tabs>
          <w:tab w:val="left" w:leader="underscore" w:pos="9639"/>
        </w:tabs>
        <w:spacing w:after="0" w:line="240" w:lineRule="auto"/>
        <w:jc w:val="both"/>
        <w:rPr>
          <w:rFonts w:cs="Calibri"/>
        </w:rPr>
      </w:pPr>
    </w:p>
    <w:p w:rsidR="007D1E76" w:rsidRPr="00E74967" w:rsidP="00CB41C4">
      <w:pPr>
        <w:pStyle w:val="ListParagraph"/>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pPr>
            <w:pStyle w:val="TOCHeading"/>
          </w:pPr>
          <w:r>
            <w:rPr>
              <w:lang w:val="es-ES"/>
            </w:rPr>
            <w:t>Contenido</w:t>
          </w:r>
        </w:p>
        <w:p w:rsidR="00F46719">
          <w:pPr>
            <w:pStyle w:val="TOC2"/>
            <w:tabs>
              <w:tab w:val="right" w:leader="dot" w:pos="9678"/>
            </w:tabs>
            <w:rPr>
              <w:noProof/>
            </w:rPr>
          </w:pPr>
          <w:r w:rsidRPr="00106916">
            <w:fldChar w:fldCharType="begin"/>
          </w:r>
          <w:r>
            <w:instrText xml:space="preserve"> TOC \o "1-3" \h \z \u </w:instrText>
          </w:r>
          <w:r w:rsidRPr="00106916">
            <w:fldChar w:fldCharType="separate"/>
          </w:r>
          <w:hyperlink w:anchor="_Toc508279621" w:history="1">
            <w:r w:rsidRPr="00C669D1">
              <w:rPr>
                <w:rStyle w:val="Hyperlink"/>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fldChar w:fldCharType="separate"/>
            </w:r>
            <w:r w:rsidR="006349AC">
              <w:rPr>
                <w:noProof/>
                <w:webHidden/>
              </w:rPr>
              <w:t>2</w:t>
            </w:r>
            <w:r>
              <w:rPr>
                <w:noProof/>
                <w:webHidden/>
              </w:rPr>
              <w:fldChar w:fldCharType="end"/>
            </w:r>
          </w:hyperlink>
        </w:p>
        <w:p w:rsidR="00F46719">
          <w:pPr>
            <w:pStyle w:val="TOC2"/>
            <w:tabs>
              <w:tab w:val="right" w:leader="dot" w:pos="9678"/>
            </w:tabs>
            <w:rPr>
              <w:noProof/>
            </w:rPr>
          </w:pPr>
          <w:hyperlink w:anchor="_Toc508279622" w:history="1">
            <w:r w:rsidRPr="00C669D1">
              <w:rPr>
                <w:rStyle w:val="Hyperlink"/>
                <w:rFonts w:cstheme="minorHAnsi"/>
                <w:noProof/>
              </w:rPr>
              <w:t>2. Describir el panorama Económico y Financiero:</w:t>
            </w:r>
            <w:r>
              <w:rPr>
                <w:noProof/>
                <w:webHidden/>
              </w:rPr>
              <w:tab/>
            </w:r>
            <w:r>
              <w:rPr>
                <w:noProof/>
                <w:webHidden/>
              </w:rPr>
              <w:fldChar w:fldCharType="begin"/>
            </w:r>
            <w:r>
              <w:rPr>
                <w:noProof/>
                <w:webHidden/>
              </w:rPr>
              <w:instrText xml:space="preserve"> PAGEREF _Toc508279622 \h </w:instrText>
            </w:r>
            <w:r>
              <w:rPr>
                <w:noProof/>
                <w:webHidden/>
              </w:rPr>
              <w:fldChar w:fldCharType="separate"/>
            </w:r>
            <w:r w:rsidR="006349AC">
              <w:rPr>
                <w:noProof/>
                <w:webHidden/>
              </w:rPr>
              <w:t>2</w:t>
            </w:r>
            <w:r>
              <w:rPr>
                <w:noProof/>
                <w:webHidden/>
              </w:rPr>
              <w:fldChar w:fldCharType="end"/>
            </w:r>
          </w:hyperlink>
        </w:p>
        <w:p w:rsidR="00F46719">
          <w:pPr>
            <w:pStyle w:val="TOC2"/>
            <w:tabs>
              <w:tab w:val="right" w:leader="dot" w:pos="9678"/>
            </w:tabs>
            <w:rPr>
              <w:noProof/>
            </w:rPr>
          </w:pPr>
          <w:hyperlink w:anchor="_Toc508279623" w:history="1">
            <w:r w:rsidRPr="00C669D1">
              <w:rPr>
                <w:rStyle w:val="Hyperlink"/>
                <w:rFonts w:cstheme="minorHAnsi"/>
                <w:noProof/>
              </w:rPr>
              <w:t>3. Autorización e Historia:</w:t>
            </w:r>
            <w:r>
              <w:rPr>
                <w:noProof/>
                <w:webHidden/>
              </w:rPr>
              <w:tab/>
            </w:r>
            <w:r>
              <w:rPr>
                <w:noProof/>
                <w:webHidden/>
              </w:rPr>
              <w:fldChar w:fldCharType="begin"/>
            </w:r>
            <w:r>
              <w:rPr>
                <w:noProof/>
                <w:webHidden/>
              </w:rPr>
              <w:instrText xml:space="preserve"> PAGEREF _Toc508279623 \h </w:instrText>
            </w:r>
            <w:r>
              <w:rPr>
                <w:noProof/>
                <w:webHidden/>
              </w:rPr>
              <w:fldChar w:fldCharType="separate"/>
            </w:r>
            <w:r w:rsidR="006349AC">
              <w:rPr>
                <w:noProof/>
                <w:webHidden/>
              </w:rPr>
              <w:t>2</w:t>
            </w:r>
            <w:r>
              <w:rPr>
                <w:noProof/>
                <w:webHidden/>
              </w:rPr>
              <w:fldChar w:fldCharType="end"/>
            </w:r>
          </w:hyperlink>
        </w:p>
        <w:p w:rsidR="00F46719">
          <w:pPr>
            <w:pStyle w:val="TOC2"/>
            <w:tabs>
              <w:tab w:val="right" w:leader="dot" w:pos="9678"/>
            </w:tabs>
            <w:rPr>
              <w:noProof/>
            </w:rPr>
          </w:pPr>
          <w:hyperlink w:anchor="_Toc508279624" w:history="1">
            <w:r w:rsidRPr="00C669D1">
              <w:rPr>
                <w:rStyle w:val="Hyperlink"/>
                <w:rFonts w:cstheme="minorHAnsi"/>
                <w:noProof/>
              </w:rPr>
              <w:t>4. Organización y Objeto Social:</w:t>
            </w:r>
            <w:r>
              <w:rPr>
                <w:noProof/>
                <w:webHidden/>
              </w:rPr>
              <w:tab/>
            </w:r>
            <w:r>
              <w:rPr>
                <w:noProof/>
                <w:webHidden/>
              </w:rPr>
              <w:fldChar w:fldCharType="begin"/>
            </w:r>
            <w:r>
              <w:rPr>
                <w:noProof/>
                <w:webHidden/>
              </w:rPr>
              <w:instrText xml:space="preserve"> PAGEREF _Toc508279624 \h </w:instrText>
            </w:r>
            <w:r>
              <w:rPr>
                <w:noProof/>
                <w:webHidden/>
              </w:rPr>
              <w:fldChar w:fldCharType="separate"/>
            </w:r>
            <w:r w:rsidR="006349AC">
              <w:rPr>
                <w:noProof/>
                <w:webHidden/>
              </w:rPr>
              <w:t>3</w:t>
            </w:r>
            <w:r>
              <w:rPr>
                <w:noProof/>
                <w:webHidden/>
              </w:rPr>
              <w:fldChar w:fldCharType="end"/>
            </w:r>
          </w:hyperlink>
        </w:p>
        <w:p w:rsidR="00F46719">
          <w:pPr>
            <w:pStyle w:val="TOC2"/>
            <w:tabs>
              <w:tab w:val="right" w:leader="dot" w:pos="9678"/>
            </w:tabs>
            <w:rPr>
              <w:noProof/>
            </w:rPr>
          </w:pPr>
          <w:hyperlink w:anchor="_Toc508279625" w:history="1">
            <w:r w:rsidRPr="00C669D1">
              <w:rPr>
                <w:rStyle w:val="Hyperlink"/>
                <w:rFonts w:cstheme="minorHAnsi"/>
                <w:noProof/>
              </w:rPr>
              <w:t>5. Bases de Preparación de los Estados Financieros:</w:t>
            </w:r>
            <w:r>
              <w:rPr>
                <w:noProof/>
                <w:webHidden/>
              </w:rPr>
              <w:tab/>
            </w:r>
            <w:r>
              <w:rPr>
                <w:noProof/>
                <w:webHidden/>
              </w:rPr>
              <w:fldChar w:fldCharType="begin"/>
            </w:r>
            <w:r>
              <w:rPr>
                <w:noProof/>
                <w:webHidden/>
              </w:rPr>
              <w:instrText xml:space="preserve"> PAGEREF _Toc508279625 \h </w:instrText>
            </w:r>
            <w:r>
              <w:rPr>
                <w:noProof/>
                <w:webHidden/>
              </w:rPr>
              <w:fldChar w:fldCharType="separate"/>
            </w:r>
            <w:r w:rsidR="006349AC">
              <w:rPr>
                <w:noProof/>
                <w:webHidden/>
              </w:rPr>
              <w:t>5</w:t>
            </w:r>
            <w:r>
              <w:rPr>
                <w:noProof/>
                <w:webHidden/>
              </w:rPr>
              <w:fldChar w:fldCharType="end"/>
            </w:r>
          </w:hyperlink>
        </w:p>
        <w:p w:rsidR="00F46719">
          <w:pPr>
            <w:pStyle w:val="TOC2"/>
            <w:tabs>
              <w:tab w:val="right" w:leader="dot" w:pos="9678"/>
            </w:tabs>
            <w:rPr>
              <w:noProof/>
            </w:rPr>
          </w:pPr>
          <w:hyperlink w:anchor="_Toc508279626" w:history="1">
            <w:r w:rsidRPr="00C669D1">
              <w:rPr>
                <w:rStyle w:val="Hyperlink"/>
                <w:rFonts w:cstheme="minorHAnsi"/>
                <w:noProof/>
              </w:rPr>
              <w:t>6. Políticas de Contabilidad Significativas:</w:t>
            </w:r>
            <w:r>
              <w:rPr>
                <w:noProof/>
                <w:webHidden/>
              </w:rPr>
              <w:tab/>
            </w:r>
            <w:r>
              <w:rPr>
                <w:noProof/>
                <w:webHidden/>
              </w:rPr>
              <w:fldChar w:fldCharType="begin"/>
            </w:r>
            <w:r>
              <w:rPr>
                <w:noProof/>
                <w:webHidden/>
              </w:rPr>
              <w:instrText xml:space="preserve"> PAGEREF _Toc508279626 \h </w:instrText>
            </w:r>
            <w:r>
              <w:rPr>
                <w:noProof/>
                <w:webHidden/>
              </w:rPr>
              <w:fldChar w:fldCharType="separate"/>
            </w:r>
            <w:r w:rsidR="006349AC">
              <w:rPr>
                <w:noProof/>
                <w:webHidden/>
              </w:rPr>
              <w:t>6</w:t>
            </w:r>
            <w:r>
              <w:rPr>
                <w:noProof/>
                <w:webHidden/>
              </w:rPr>
              <w:fldChar w:fldCharType="end"/>
            </w:r>
          </w:hyperlink>
        </w:p>
        <w:p w:rsidR="00F46719">
          <w:pPr>
            <w:pStyle w:val="TOC2"/>
            <w:tabs>
              <w:tab w:val="right" w:leader="dot" w:pos="9678"/>
            </w:tabs>
            <w:rPr>
              <w:noProof/>
            </w:rPr>
          </w:pPr>
          <w:hyperlink w:anchor="_Toc508279627" w:history="1">
            <w:r w:rsidRPr="00C669D1">
              <w:rPr>
                <w:rStyle w:val="Hyperlink"/>
                <w:rFonts w:cstheme="minorHAnsi"/>
                <w:noProof/>
              </w:rPr>
              <w:t>7. Posición en Moneda Extranjera y Protección por Riesgo Cambiario:</w:t>
            </w:r>
            <w:r>
              <w:rPr>
                <w:noProof/>
                <w:webHidden/>
              </w:rPr>
              <w:tab/>
            </w:r>
            <w:r>
              <w:rPr>
                <w:noProof/>
                <w:webHidden/>
              </w:rPr>
              <w:fldChar w:fldCharType="begin"/>
            </w:r>
            <w:r>
              <w:rPr>
                <w:noProof/>
                <w:webHidden/>
              </w:rPr>
              <w:instrText xml:space="preserve"> PAGEREF _Toc508279627 \h </w:instrText>
            </w:r>
            <w:r>
              <w:rPr>
                <w:noProof/>
                <w:webHidden/>
              </w:rPr>
              <w:fldChar w:fldCharType="separate"/>
            </w:r>
            <w:r w:rsidR="006349AC">
              <w:rPr>
                <w:noProof/>
                <w:webHidden/>
              </w:rPr>
              <w:t>7</w:t>
            </w:r>
            <w:r>
              <w:rPr>
                <w:noProof/>
                <w:webHidden/>
              </w:rPr>
              <w:fldChar w:fldCharType="end"/>
            </w:r>
          </w:hyperlink>
        </w:p>
        <w:p w:rsidR="00F46719">
          <w:pPr>
            <w:pStyle w:val="TOC2"/>
            <w:tabs>
              <w:tab w:val="right" w:leader="dot" w:pos="9678"/>
            </w:tabs>
            <w:rPr>
              <w:noProof/>
            </w:rPr>
          </w:pPr>
          <w:hyperlink w:anchor="_Toc508279628" w:history="1">
            <w:r w:rsidRPr="00C669D1">
              <w:rPr>
                <w:rStyle w:val="Hyperlink"/>
                <w:rFonts w:cstheme="minorHAnsi"/>
                <w:noProof/>
              </w:rPr>
              <w:t>8. Reporte Analítico del Activo:</w:t>
            </w:r>
            <w:r>
              <w:rPr>
                <w:noProof/>
                <w:webHidden/>
              </w:rPr>
              <w:tab/>
            </w:r>
            <w:r>
              <w:rPr>
                <w:noProof/>
                <w:webHidden/>
              </w:rPr>
              <w:fldChar w:fldCharType="begin"/>
            </w:r>
            <w:r>
              <w:rPr>
                <w:noProof/>
                <w:webHidden/>
              </w:rPr>
              <w:instrText xml:space="preserve"> PAGEREF _Toc508279628 \h </w:instrText>
            </w:r>
            <w:r>
              <w:rPr>
                <w:noProof/>
                <w:webHidden/>
              </w:rPr>
              <w:fldChar w:fldCharType="separate"/>
            </w:r>
            <w:r w:rsidR="006349AC">
              <w:rPr>
                <w:noProof/>
                <w:webHidden/>
              </w:rPr>
              <w:t>7</w:t>
            </w:r>
            <w:r>
              <w:rPr>
                <w:noProof/>
                <w:webHidden/>
              </w:rPr>
              <w:fldChar w:fldCharType="end"/>
            </w:r>
          </w:hyperlink>
        </w:p>
        <w:p w:rsidR="00F46719">
          <w:pPr>
            <w:pStyle w:val="TOC2"/>
            <w:tabs>
              <w:tab w:val="right" w:leader="dot" w:pos="9678"/>
            </w:tabs>
            <w:rPr>
              <w:noProof/>
            </w:rPr>
          </w:pPr>
          <w:hyperlink w:anchor="_Toc508279629" w:history="1">
            <w:r w:rsidRPr="00C669D1">
              <w:rPr>
                <w:rStyle w:val="Hyperlink"/>
                <w:rFonts w:cstheme="minorHAnsi"/>
                <w:noProof/>
              </w:rPr>
              <w:t>9. Fideicomisos, Mandatos y Análogos:</w:t>
            </w:r>
            <w:r>
              <w:rPr>
                <w:noProof/>
                <w:webHidden/>
              </w:rPr>
              <w:tab/>
            </w:r>
            <w:r>
              <w:rPr>
                <w:noProof/>
                <w:webHidden/>
              </w:rPr>
              <w:fldChar w:fldCharType="begin"/>
            </w:r>
            <w:r>
              <w:rPr>
                <w:noProof/>
                <w:webHidden/>
              </w:rPr>
              <w:instrText xml:space="preserve"> PAGEREF _Toc508279629 \h </w:instrText>
            </w:r>
            <w:r>
              <w:rPr>
                <w:noProof/>
                <w:webHidden/>
              </w:rPr>
              <w:fldChar w:fldCharType="separate"/>
            </w:r>
            <w:r w:rsidR="006349AC">
              <w:rPr>
                <w:noProof/>
                <w:webHidden/>
              </w:rPr>
              <w:t>9</w:t>
            </w:r>
            <w:r>
              <w:rPr>
                <w:noProof/>
                <w:webHidden/>
              </w:rPr>
              <w:fldChar w:fldCharType="end"/>
            </w:r>
          </w:hyperlink>
        </w:p>
        <w:p w:rsidR="00F46719">
          <w:pPr>
            <w:pStyle w:val="TOC2"/>
            <w:tabs>
              <w:tab w:val="right" w:leader="dot" w:pos="9678"/>
            </w:tabs>
            <w:rPr>
              <w:noProof/>
            </w:rPr>
          </w:pPr>
          <w:hyperlink w:anchor="_Toc508279630" w:history="1">
            <w:r w:rsidRPr="00C669D1">
              <w:rPr>
                <w:rStyle w:val="Hyperlink"/>
                <w:rFonts w:cstheme="minorHAnsi"/>
                <w:noProof/>
              </w:rPr>
              <w:t>10. Reporte de la Recaudación:</w:t>
            </w:r>
            <w:r>
              <w:rPr>
                <w:noProof/>
                <w:webHidden/>
              </w:rPr>
              <w:tab/>
            </w:r>
            <w:r>
              <w:rPr>
                <w:noProof/>
                <w:webHidden/>
              </w:rPr>
              <w:fldChar w:fldCharType="begin"/>
            </w:r>
            <w:r>
              <w:rPr>
                <w:noProof/>
                <w:webHidden/>
              </w:rPr>
              <w:instrText xml:space="preserve"> PAGEREF _Toc508279630 \h </w:instrText>
            </w:r>
            <w:r>
              <w:rPr>
                <w:noProof/>
                <w:webHidden/>
              </w:rPr>
              <w:fldChar w:fldCharType="separate"/>
            </w:r>
            <w:r w:rsidR="006349AC">
              <w:rPr>
                <w:noProof/>
                <w:webHidden/>
              </w:rPr>
              <w:t>9</w:t>
            </w:r>
            <w:r>
              <w:rPr>
                <w:noProof/>
                <w:webHidden/>
              </w:rPr>
              <w:fldChar w:fldCharType="end"/>
            </w:r>
          </w:hyperlink>
        </w:p>
        <w:p w:rsidR="00F46719">
          <w:pPr>
            <w:pStyle w:val="TOC2"/>
            <w:tabs>
              <w:tab w:val="right" w:leader="dot" w:pos="9678"/>
            </w:tabs>
            <w:rPr>
              <w:noProof/>
            </w:rPr>
          </w:pPr>
          <w:hyperlink w:anchor="_Toc508279631" w:history="1">
            <w:r w:rsidRPr="00C669D1">
              <w:rPr>
                <w:rStyle w:val="Hyperlink"/>
                <w:rFonts w:cstheme="minorHAnsi"/>
                <w:noProof/>
              </w:rPr>
              <w:t>11. Información sobre la Deuda y el Reporte Analítico de la Deuda:</w:t>
            </w:r>
            <w:r>
              <w:rPr>
                <w:noProof/>
                <w:webHidden/>
              </w:rPr>
              <w:tab/>
            </w:r>
            <w:r>
              <w:rPr>
                <w:noProof/>
                <w:webHidden/>
              </w:rPr>
              <w:fldChar w:fldCharType="begin"/>
            </w:r>
            <w:r>
              <w:rPr>
                <w:noProof/>
                <w:webHidden/>
              </w:rPr>
              <w:instrText xml:space="preserve"> PAGEREF _Toc508279631 \h </w:instrText>
            </w:r>
            <w:r>
              <w:rPr>
                <w:noProof/>
                <w:webHidden/>
              </w:rPr>
              <w:fldChar w:fldCharType="separate"/>
            </w:r>
            <w:r w:rsidR="006349AC">
              <w:rPr>
                <w:noProof/>
                <w:webHidden/>
              </w:rPr>
              <w:t>9</w:t>
            </w:r>
            <w:r>
              <w:rPr>
                <w:noProof/>
                <w:webHidden/>
              </w:rPr>
              <w:fldChar w:fldCharType="end"/>
            </w:r>
          </w:hyperlink>
        </w:p>
        <w:p w:rsidR="00F46719">
          <w:pPr>
            <w:pStyle w:val="TOC2"/>
            <w:tabs>
              <w:tab w:val="right" w:leader="dot" w:pos="9678"/>
            </w:tabs>
            <w:rPr>
              <w:noProof/>
            </w:rPr>
          </w:pPr>
          <w:hyperlink w:anchor="_Toc508279632" w:history="1">
            <w:r w:rsidRPr="00C669D1">
              <w:rPr>
                <w:rStyle w:val="Hyperlink"/>
                <w:rFonts w:cstheme="minorHAnsi"/>
                <w:noProof/>
              </w:rPr>
              <w:t>12. Calificaciones otorgadas:</w:t>
            </w:r>
            <w:r>
              <w:rPr>
                <w:noProof/>
                <w:webHidden/>
              </w:rPr>
              <w:tab/>
            </w:r>
            <w:r>
              <w:rPr>
                <w:noProof/>
                <w:webHidden/>
              </w:rPr>
              <w:fldChar w:fldCharType="begin"/>
            </w:r>
            <w:r>
              <w:rPr>
                <w:noProof/>
                <w:webHidden/>
              </w:rPr>
              <w:instrText xml:space="preserve"> PAGEREF _Toc508279632 \h </w:instrText>
            </w:r>
            <w:r>
              <w:rPr>
                <w:noProof/>
                <w:webHidden/>
              </w:rPr>
              <w:fldChar w:fldCharType="separate"/>
            </w:r>
            <w:r w:rsidR="006349AC">
              <w:rPr>
                <w:noProof/>
                <w:webHidden/>
              </w:rPr>
              <w:t>9</w:t>
            </w:r>
            <w:r>
              <w:rPr>
                <w:noProof/>
                <w:webHidden/>
              </w:rPr>
              <w:fldChar w:fldCharType="end"/>
            </w:r>
          </w:hyperlink>
        </w:p>
        <w:p w:rsidR="00F46719">
          <w:pPr>
            <w:pStyle w:val="TOC2"/>
            <w:tabs>
              <w:tab w:val="right" w:leader="dot" w:pos="9678"/>
            </w:tabs>
            <w:rPr>
              <w:noProof/>
            </w:rPr>
          </w:pPr>
          <w:hyperlink w:anchor="_Toc508279633" w:history="1">
            <w:r w:rsidRPr="00C669D1">
              <w:rPr>
                <w:rStyle w:val="Hyperlink"/>
                <w:rFonts w:cstheme="minorHAnsi"/>
                <w:noProof/>
              </w:rPr>
              <w:t>13. Proceso de Mejora:</w:t>
            </w:r>
            <w:r>
              <w:rPr>
                <w:noProof/>
                <w:webHidden/>
              </w:rPr>
              <w:tab/>
            </w:r>
            <w:r>
              <w:rPr>
                <w:noProof/>
                <w:webHidden/>
              </w:rPr>
              <w:fldChar w:fldCharType="begin"/>
            </w:r>
            <w:r>
              <w:rPr>
                <w:noProof/>
                <w:webHidden/>
              </w:rPr>
              <w:instrText xml:space="preserve"> PAGEREF _Toc508279633 \h </w:instrText>
            </w:r>
            <w:r>
              <w:rPr>
                <w:noProof/>
                <w:webHidden/>
              </w:rPr>
              <w:fldChar w:fldCharType="separate"/>
            </w:r>
            <w:r w:rsidR="006349AC">
              <w:rPr>
                <w:noProof/>
                <w:webHidden/>
              </w:rPr>
              <w:t>9</w:t>
            </w:r>
            <w:r>
              <w:rPr>
                <w:noProof/>
                <w:webHidden/>
              </w:rPr>
              <w:fldChar w:fldCharType="end"/>
            </w:r>
          </w:hyperlink>
        </w:p>
        <w:p w:rsidR="00F46719">
          <w:pPr>
            <w:pStyle w:val="TOC2"/>
            <w:tabs>
              <w:tab w:val="right" w:leader="dot" w:pos="9678"/>
            </w:tabs>
            <w:rPr>
              <w:noProof/>
            </w:rPr>
          </w:pPr>
          <w:hyperlink w:anchor="_Toc508279634" w:history="1">
            <w:r w:rsidRPr="00C669D1">
              <w:rPr>
                <w:rStyle w:val="Hyperlink"/>
                <w:rFonts w:cstheme="minorHAnsi"/>
                <w:noProof/>
              </w:rPr>
              <w:t>14. Información por Segmentos:</w:t>
            </w:r>
            <w:r>
              <w:rPr>
                <w:noProof/>
                <w:webHidden/>
              </w:rPr>
              <w:tab/>
            </w:r>
            <w:r>
              <w:rPr>
                <w:noProof/>
                <w:webHidden/>
              </w:rPr>
              <w:fldChar w:fldCharType="begin"/>
            </w:r>
            <w:r>
              <w:rPr>
                <w:noProof/>
                <w:webHidden/>
              </w:rPr>
              <w:instrText xml:space="preserve"> PAGEREF _Toc508279634 \h </w:instrText>
            </w:r>
            <w:r>
              <w:rPr>
                <w:noProof/>
                <w:webHidden/>
              </w:rPr>
              <w:fldChar w:fldCharType="separate"/>
            </w:r>
            <w:r w:rsidR="006349AC">
              <w:rPr>
                <w:noProof/>
                <w:webHidden/>
              </w:rPr>
              <w:t>10</w:t>
            </w:r>
            <w:r>
              <w:rPr>
                <w:noProof/>
                <w:webHidden/>
              </w:rPr>
              <w:fldChar w:fldCharType="end"/>
            </w:r>
          </w:hyperlink>
        </w:p>
        <w:p w:rsidR="00F46719">
          <w:pPr>
            <w:pStyle w:val="TOC2"/>
            <w:tabs>
              <w:tab w:val="right" w:leader="dot" w:pos="9678"/>
            </w:tabs>
            <w:rPr>
              <w:noProof/>
            </w:rPr>
          </w:pPr>
          <w:hyperlink w:anchor="_Toc508279635" w:history="1">
            <w:r w:rsidRPr="00C669D1">
              <w:rPr>
                <w:rStyle w:val="Hyperlink"/>
                <w:rFonts w:cstheme="minorHAnsi"/>
                <w:noProof/>
              </w:rPr>
              <w:t>15. Eventos Posteriores al Cierre:</w:t>
            </w:r>
            <w:r>
              <w:rPr>
                <w:noProof/>
                <w:webHidden/>
              </w:rPr>
              <w:tab/>
            </w:r>
            <w:r>
              <w:rPr>
                <w:noProof/>
                <w:webHidden/>
              </w:rPr>
              <w:fldChar w:fldCharType="begin"/>
            </w:r>
            <w:r>
              <w:rPr>
                <w:noProof/>
                <w:webHidden/>
              </w:rPr>
              <w:instrText xml:space="preserve"> PAGEREF _Toc508279635 \h </w:instrText>
            </w:r>
            <w:r>
              <w:rPr>
                <w:noProof/>
                <w:webHidden/>
              </w:rPr>
              <w:fldChar w:fldCharType="separate"/>
            </w:r>
            <w:r w:rsidR="006349AC">
              <w:rPr>
                <w:noProof/>
                <w:webHidden/>
              </w:rPr>
              <w:t>10</w:t>
            </w:r>
            <w:r>
              <w:rPr>
                <w:noProof/>
                <w:webHidden/>
              </w:rPr>
              <w:fldChar w:fldCharType="end"/>
            </w:r>
          </w:hyperlink>
        </w:p>
        <w:p w:rsidR="00F46719">
          <w:pPr>
            <w:pStyle w:val="TOC2"/>
            <w:tabs>
              <w:tab w:val="right" w:leader="dot" w:pos="9678"/>
            </w:tabs>
            <w:rPr>
              <w:noProof/>
            </w:rPr>
          </w:pPr>
          <w:hyperlink w:anchor="_Toc508279636" w:history="1">
            <w:r w:rsidRPr="00C669D1">
              <w:rPr>
                <w:rStyle w:val="Hyperlink"/>
                <w:rFonts w:cstheme="minorHAnsi"/>
                <w:noProof/>
              </w:rPr>
              <w:t>16. Partes Relacionadas:</w:t>
            </w:r>
            <w:r>
              <w:rPr>
                <w:noProof/>
                <w:webHidden/>
              </w:rPr>
              <w:tab/>
            </w:r>
            <w:r>
              <w:rPr>
                <w:noProof/>
                <w:webHidden/>
              </w:rPr>
              <w:fldChar w:fldCharType="begin"/>
            </w:r>
            <w:r>
              <w:rPr>
                <w:noProof/>
                <w:webHidden/>
              </w:rPr>
              <w:instrText xml:space="preserve"> PAGEREF _Toc508279636 \h </w:instrText>
            </w:r>
            <w:r>
              <w:rPr>
                <w:noProof/>
                <w:webHidden/>
              </w:rPr>
              <w:fldChar w:fldCharType="separate"/>
            </w:r>
            <w:r w:rsidR="006349AC">
              <w:rPr>
                <w:noProof/>
                <w:webHidden/>
              </w:rPr>
              <w:t>10</w:t>
            </w:r>
            <w:r>
              <w:rPr>
                <w:noProof/>
                <w:webHidden/>
              </w:rPr>
              <w:fldChar w:fldCharType="end"/>
            </w:r>
          </w:hyperlink>
        </w:p>
        <w:p w:rsidR="00F46719">
          <w:pPr>
            <w:pStyle w:val="TOC2"/>
            <w:tabs>
              <w:tab w:val="right" w:leader="dot" w:pos="9678"/>
            </w:tabs>
            <w:rPr>
              <w:noProof/>
            </w:rPr>
          </w:pPr>
          <w:hyperlink w:anchor="_Toc508279637" w:history="1">
            <w:r w:rsidRPr="00C669D1">
              <w:rPr>
                <w:rStyle w:val="Hyperlink"/>
                <w:rFonts w:cstheme="minorHAnsi"/>
                <w:noProof/>
              </w:rPr>
              <w:t>17. Responsabilidad Sobre la Presentación Razonable de la Información Contable:</w:t>
            </w:r>
            <w:r>
              <w:rPr>
                <w:noProof/>
                <w:webHidden/>
              </w:rPr>
              <w:tab/>
            </w:r>
            <w:r>
              <w:rPr>
                <w:noProof/>
                <w:webHidden/>
              </w:rPr>
              <w:fldChar w:fldCharType="begin"/>
            </w:r>
            <w:r>
              <w:rPr>
                <w:noProof/>
                <w:webHidden/>
              </w:rPr>
              <w:instrText xml:space="preserve"> PAGEREF _Toc508279637 \h </w:instrText>
            </w:r>
            <w:r>
              <w:rPr>
                <w:noProof/>
                <w:webHidden/>
              </w:rPr>
              <w:fldChar w:fldCharType="separate"/>
            </w:r>
            <w:r w:rsidR="006349AC">
              <w:rPr>
                <w:noProof/>
                <w:webHidden/>
              </w:rPr>
              <w:t>10</w:t>
            </w:r>
            <w:r>
              <w:rPr>
                <w:noProof/>
                <w:webHidden/>
              </w:rPr>
              <w:fldChar w:fldCharType="end"/>
            </w:r>
          </w:hyperlink>
        </w:p>
        <w:p w:rsidR="00F46719">
          <w:r>
            <w:rPr>
              <w:b/>
              <w:bCs/>
              <w:lang w:val="es-ES"/>
            </w:rPr>
            <w:fldChar w:fldCharType="end"/>
          </w:r>
        </w:p>
      </w:sdtContent>
    </w:sdt>
    <w:p w:rsidR="00F46719"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7D3CA4" w:rsidRPr="00E74967" w:rsidP="00CB41C4">
      <w:pPr>
        <w:tabs>
          <w:tab w:val="left" w:leader="underscore" w:pos="9639"/>
        </w:tabs>
        <w:spacing w:after="0" w:line="240" w:lineRule="auto"/>
        <w:jc w:val="both"/>
        <w:rPr>
          <w:rFonts w:cs="Calibri"/>
        </w:rPr>
      </w:pP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sidR="006B0C9C">
        <w:rPr>
          <w:rFonts w:ascii="Arial" w:hAnsi="Arial" w:cs="Arial"/>
          <w:sz w:val="20"/>
          <w:szCs w:val="20"/>
        </w:rPr>
        <w:t xml:space="preserve"> Durante los años 2018 y 2019 se otorgaron un total de </w:t>
      </w:r>
      <w:r w:rsidR="007C0FEA">
        <w:rPr>
          <w:rFonts w:ascii="Arial" w:hAnsi="Arial" w:cs="Arial"/>
          <w:sz w:val="20"/>
          <w:szCs w:val="20"/>
        </w:rPr>
        <w:t>58 créditos de autoconstrucción; 18 créditos en el 2018 y 40 créditos en el 2019.</w:t>
      </w:r>
    </w:p>
    <w:p w:rsidR="007D3CA4" w:rsidRPr="00E74967" w:rsidP="007D3CA4">
      <w:pPr>
        <w:spacing w:after="0" w:line="240" w:lineRule="auto"/>
        <w:jc w:val="both"/>
        <w:rPr>
          <w:rFonts w:cs="Calibri"/>
        </w:rPr>
      </w:pPr>
    </w:p>
    <w:p w:rsidR="007D1E76"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Pr="000C3365" w:rsidR="00E00323">
        <w:rPr>
          <w:rFonts w:asciiTheme="minorHAnsi" w:hAnsiTheme="minorHAnsi" w:cstheme="minorHAnsi"/>
          <w:b/>
          <w:color w:val="auto"/>
          <w:sz w:val="22"/>
        </w:rPr>
        <w:t>orama Económico y Financiero:</w:t>
      </w:r>
      <w:bookmarkEnd w:id="2"/>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r w:rsidRPr="00BB216F">
        <w:rPr>
          <w:rFonts w:ascii="Arial" w:hAnsi="Arial" w:cs="Arial"/>
          <w:sz w:val="20"/>
          <w:szCs w:val="20"/>
        </w:rPr>
        <w:t>Vivah</w:t>
      </w:r>
      <w:r w:rsidRPr="00BB216F">
        <w:rPr>
          <w:rFonts w:ascii="Arial" w:hAnsi="Arial" w:cs="Arial"/>
          <w:sz w:val="20"/>
          <w:szCs w:val="20"/>
        </w:rPr>
        <w:t>”.</w:t>
      </w:r>
    </w:p>
    <w:p w:rsidR="007D3CA4" w:rsidP="007D3CA4">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2264C3" w:rsidRPr="00BB216F" w:rsidP="007D3CA4">
      <w:pPr>
        <w:spacing w:after="0" w:line="240" w:lineRule="auto"/>
        <w:jc w:val="both"/>
        <w:rPr>
          <w:rFonts w:ascii="Arial" w:hAnsi="Arial" w:cs="Arial"/>
          <w:sz w:val="20"/>
          <w:szCs w:val="20"/>
        </w:rPr>
      </w:pPr>
    </w:p>
    <w:p w:rsidR="007D3CA4" w:rsidP="007D3CA4">
      <w:pPr>
        <w:spacing w:after="0" w:line="240" w:lineRule="auto"/>
        <w:jc w:val="both"/>
        <w:rPr>
          <w:rFonts w:ascii="Arial" w:hAnsi="Arial" w:cs="Arial"/>
          <w:sz w:val="20"/>
          <w:szCs w:val="20"/>
          <w:lang w:val="es-ES"/>
        </w:rPr>
      </w:pPr>
      <w:r>
        <w:rPr>
          <w:rFonts w:ascii="Arial" w:hAnsi="Arial" w:cs="Arial"/>
          <w:sz w:val="20"/>
          <w:szCs w:val="20"/>
          <w:lang w:val="es-ES"/>
        </w:rPr>
        <w:t>En el ejercicio 2014 se adquirió una nueva reserva en el Guayabo, y en el 2017 se adquirió otra reserva el Guayabo II; actualmente</w:t>
      </w:r>
      <w:r w:rsidR="002264C3">
        <w:rPr>
          <w:rFonts w:ascii="Arial" w:hAnsi="Arial" w:cs="Arial"/>
          <w:sz w:val="20"/>
          <w:szCs w:val="20"/>
          <w:lang w:val="es-ES"/>
        </w:rPr>
        <w:t xml:space="preserve"> la reserva El Guayabo mas la infraestructura con la que cuenta se </w:t>
      </w:r>
      <w:r w:rsidR="002264C3">
        <w:rPr>
          <w:rFonts w:ascii="Arial" w:hAnsi="Arial" w:cs="Arial"/>
          <w:sz w:val="20"/>
          <w:szCs w:val="20"/>
          <w:lang w:val="es-ES"/>
        </w:rPr>
        <w:t>esta</w:t>
      </w:r>
      <w:r w:rsidR="002264C3">
        <w:rPr>
          <w:rFonts w:ascii="Arial" w:hAnsi="Arial" w:cs="Arial"/>
          <w:sz w:val="20"/>
          <w:szCs w:val="20"/>
          <w:lang w:val="es-ES"/>
        </w:rPr>
        <w:t xml:space="preserve"> trabajando bajo el esquema de </w:t>
      </w:r>
      <w:r w:rsidR="002264C3">
        <w:rPr>
          <w:rFonts w:ascii="Arial" w:hAnsi="Arial" w:cs="Arial"/>
          <w:sz w:val="20"/>
          <w:szCs w:val="20"/>
          <w:lang w:val="es-ES"/>
        </w:rPr>
        <w:t>promotoria</w:t>
      </w:r>
      <w:r w:rsidR="002264C3">
        <w:rPr>
          <w:rFonts w:ascii="Arial" w:hAnsi="Arial" w:cs="Arial"/>
          <w:sz w:val="20"/>
          <w:szCs w:val="20"/>
          <w:lang w:val="es-ES"/>
        </w:rPr>
        <w:t xml:space="preserve">, y </w:t>
      </w:r>
      <w:r w:rsidR="002264C3">
        <w:rPr>
          <w:rFonts w:ascii="Arial" w:hAnsi="Arial" w:cs="Arial"/>
          <w:sz w:val="20"/>
          <w:szCs w:val="20"/>
          <w:lang w:val="es-ES"/>
        </w:rPr>
        <w:t>asi</w:t>
      </w:r>
      <w:r w:rsidR="002264C3">
        <w:rPr>
          <w:rFonts w:ascii="Arial" w:hAnsi="Arial" w:cs="Arial"/>
          <w:sz w:val="20"/>
          <w:szCs w:val="20"/>
          <w:lang w:val="es-ES"/>
        </w:rPr>
        <w:t xml:space="preserve"> brindar a la ciudadanía la oportunidad de entrar al programa "Mi impulso a la Vivienda 2020" </w:t>
      </w:r>
    </w:p>
    <w:p w:rsidR="002264C3" w:rsidP="007D3CA4">
      <w:pPr>
        <w:spacing w:after="0" w:line="240" w:lineRule="auto"/>
        <w:jc w:val="both"/>
        <w:rPr>
          <w:rFonts w:ascii="Arial" w:hAnsi="Arial" w:cs="Arial"/>
          <w:sz w:val="20"/>
          <w:szCs w:val="20"/>
          <w:lang w:val="es-ES"/>
        </w:rPr>
      </w:pPr>
    </w:p>
    <w:p w:rsidR="002264C3" w:rsidP="007D3CA4">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rsidR="002264C3" w:rsidRPr="00BB216F" w:rsidP="007D3CA4">
      <w:pPr>
        <w:spacing w:after="0" w:line="240" w:lineRule="auto"/>
        <w:jc w:val="both"/>
        <w:rPr>
          <w:rFonts w:ascii="Arial" w:hAnsi="Arial" w:cs="Arial"/>
          <w:sz w:val="20"/>
          <w:szCs w:val="20"/>
          <w:lang w:val="es-ES"/>
        </w:rPr>
      </w:pPr>
    </w:p>
    <w:p w:rsidR="007D3CA4" w:rsidP="007D3CA4">
      <w:pPr>
        <w:spacing w:after="0" w:line="240" w:lineRule="auto"/>
        <w:jc w:val="both"/>
        <w:rPr>
          <w:rFonts w:ascii="Arial" w:hAnsi="Arial" w:cs="Arial"/>
          <w:sz w:val="20"/>
          <w:szCs w:val="20"/>
        </w:rPr>
      </w:pPr>
      <w:r>
        <w:rPr>
          <w:rFonts w:ascii="Arial" w:hAnsi="Arial" w:cs="Arial"/>
          <w:sz w:val="20"/>
          <w:szCs w:val="20"/>
        </w:rPr>
        <w:t xml:space="preserve">En este ejercicio 2020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rsidR="002264C3" w:rsidRPr="00BB216F" w:rsidP="007D3CA4">
      <w:pPr>
        <w:spacing w:after="0" w:line="240" w:lineRule="auto"/>
        <w:jc w:val="both"/>
        <w:rPr>
          <w:rFonts w:ascii="Arial" w:hAnsi="Arial" w:cs="Arial"/>
          <w:sz w:val="20"/>
          <w:szCs w:val="20"/>
        </w:rPr>
      </w:pP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r w:rsidRPr="00BB216F">
        <w:rPr>
          <w:rFonts w:ascii="Arial" w:hAnsi="Arial" w:cs="Arial"/>
          <w:sz w:val="20"/>
          <w:szCs w:val="20"/>
        </w:rPr>
        <w:t>Sedesol</w:t>
      </w:r>
      <w:r w:rsidRPr="00BB216F">
        <w:rPr>
          <w:rFonts w:ascii="Arial" w:hAnsi="Arial" w:cs="Arial"/>
          <w:sz w:val="20"/>
          <w:szCs w:val="20"/>
        </w:rPr>
        <w:t xml:space="preserve"> y </w:t>
      </w:r>
      <w:r w:rsidRPr="00BB216F">
        <w:rPr>
          <w:rFonts w:ascii="Arial" w:hAnsi="Arial" w:cs="Arial"/>
          <w:sz w:val="20"/>
          <w:szCs w:val="20"/>
        </w:rPr>
        <w:t>Fonhapo</w:t>
      </w:r>
      <w:r w:rsidRPr="00BB216F">
        <w:rPr>
          <w:rFonts w:ascii="Arial" w:hAnsi="Arial" w:cs="Arial"/>
          <w:sz w:val="20"/>
          <w:szCs w:val="20"/>
        </w:rPr>
        <w:t xml:space="preserve">; por lo que esto influirá en las decisiones que se tomen. </w:t>
      </w:r>
    </w:p>
    <w:p w:rsidR="007D3CA4" w:rsidRPr="00E74967" w:rsidP="007D3CA4">
      <w:pPr>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Pr="000C3365" w:rsidR="00E00323">
        <w:rPr>
          <w:rFonts w:asciiTheme="minorHAnsi" w:hAnsiTheme="minorHAnsi" w:cstheme="minorHAnsi"/>
          <w:b/>
          <w:color w:val="auto"/>
          <w:sz w:val="22"/>
        </w:rPr>
        <w:t>ción e Historia:</w:t>
      </w:r>
      <w:bookmarkEnd w:id="3"/>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3CA4" w:rsidRPr="00BB216F" w:rsidP="007D3CA4">
      <w:pPr>
        <w:pStyle w:val="BodyText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7D1E76" w:rsidRPr="007D3CA4" w:rsidP="00CB41C4">
      <w:pPr>
        <w:tabs>
          <w:tab w:val="left" w:leader="underscore" w:pos="9639"/>
        </w:tabs>
        <w:spacing w:after="0" w:line="240" w:lineRule="auto"/>
        <w:jc w:val="both"/>
        <w:rPr>
          <w:rFonts w:cs="Calibri"/>
          <w:lang w:val="es-ES"/>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3CA4" w:rsidRPr="00E74967" w:rsidP="007D3CA4">
      <w:pPr>
        <w:pStyle w:val="Header"/>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municipales</w:t>
      </w:r>
      <w:r w:rsidR="00BE1180">
        <w:rPr>
          <w:rFonts w:ascii="Arial" w:hAnsi="Arial" w:cs="Arial"/>
          <w:bCs/>
          <w:sz w:val="20"/>
          <w:szCs w:val="20"/>
        </w:rPr>
        <w:t xml:space="preserve">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7D3CA4" w:rsidP="007D3CA4">
      <w:pPr>
        <w:pStyle w:val="Header"/>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Pr="000C3365" w:rsidR="00E00323">
        <w:rPr>
          <w:rFonts w:asciiTheme="minorHAnsi" w:hAnsiTheme="minorHAnsi" w:cstheme="minorHAnsi"/>
          <w:b/>
          <w:color w:val="auto"/>
          <w:sz w:val="22"/>
        </w:rPr>
        <w:t>Organización y Objeto Social:</w:t>
      </w:r>
      <w:bookmarkEnd w:id="4"/>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7D3CA4" w:rsidRPr="00BB216F" w:rsidP="007D3CA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CB41C4" w:rsidP="007D3CA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Pr="00E74967" w:rsidR="00CB41C4">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3CA4" w:rsidRPr="00BB216F" w:rsidP="007D3CA4">
      <w:pPr>
        <w:jc w:val="both"/>
        <w:rPr>
          <w:rFonts w:ascii="Arial" w:hAnsi="Arial" w:cs="Arial"/>
          <w:sz w:val="20"/>
          <w:szCs w:val="20"/>
        </w:rPr>
      </w:pPr>
      <w:r>
        <w:rPr>
          <w:rFonts w:ascii="Arial" w:hAnsi="Arial" w:cs="Arial"/>
          <w:sz w:val="20"/>
          <w:szCs w:val="20"/>
        </w:rPr>
        <w:t xml:space="preserve">Enero a Diciembre </w:t>
      </w:r>
      <w:r w:rsidRPr="00BB216F">
        <w:rPr>
          <w:rFonts w:ascii="Arial" w:hAnsi="Arial" w:cs="Arial"/>
          <w:sz w:val="20"/>
          <w:szCs w:val="20"/>
        </w:rPr>
        <w:t>de 20</w:t>
      </w:r>
      <w:r w:rsidR="003E1CD0">
        <w:rPr>
          <w:rFonts w:ascii="Arial" w:hAnsi="Arial" w:cs="Arial"/>
          <w:sz w:val="20"/>
          <w:szCs w:val="20"/>
        </w:rPr>
        <w:t>20</w:t>
      </w:r>
      <w:r w:rsidRPr="00BB216F">
        <w:rPr>
          <w:rFonts w:ascii="Arial" w:hAnsi="Arial" w:cs="Arial"/>
          <w:sz w:val="20"/>
          <w:szCs w:val="20"/>
        </w:rPr>
        <w:t>.</w:t>
      </w:r>
    </w:p>
    <w:p w:rsidR="007D1E76" w:rsidRPr="00E74967" w:rsidP="00CB41C4">
      <w:pPr>
        <w:tabs>
          <w:tab w:val="left" w:leader="underscore" w:pos="9639"/>
        </w:tabs>
        <w:spacing w:after="0" w:line="240" w:lineRule="auto"/>
        <w:jc w:val="both"/>
        <w:rPr>
          <w:rFonts w:cs="Calibri"/>
        </w:rPr>
      </w:pPr>
    </w:p>
    <w:p w:rsidR="006B0C9C"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7D3CA4" w:rsidP="00CB41C4">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7D3CA4" w:rsidP="00CB41C4">
      <w:pPr>
        <w:tabs>
          <w:tab w:val="left" w:leader="underscore" w:pos="9639"/>
        </w:tabs>
        <w:spacing w:after="0" w:line="240" w:lineRule="auto"/>
        <w:jc w:val="both"/>
        <w:rPr>
          <w:rFonts w:cs="Calibri"/>
          <w:b/>
        </w:rPr>
      </w:pPr>
    </w:p>
    <w:p w:rsidR="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rsidR="006B0C9C" w:rsidRPr="00E74967" w:rsidP="00CB41C4">
      <w:pPr>
        <w:tabs>
          <w:tab w:val="left" w:leader="underscore" w:pos="9639"/>
        </w:tabs>
        <w:spacing w:after="0" w:line="240" w:lineRule="auto"/>
        <w:jc w:val="both"/>
        <w:rPr>
          <w:rFonts w:cs="Calibri"/>
        </w:rPr>
      </w:pPr>
    </w:p>
    <w:p w:rsidR="007D3CA4" w:rsidP="007D3CA4">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6B0C9C" w:rsidRPr="00BB216F" w:rsidP="007D3CA4">
      <w:pPr>
        <w:autoSpaceDE w:val="0"/>
        <w:autoSpaceDN w:val="0"/>
        <w:adjustRightInd w:val="0"/>
        <w:spacing w:after="0" w:line="240" w:lineRule="auto"/>
        <w:rPr>
          <w:rFonts w:ascii="Arial" w:hAnsi="Arial" w:cs="Arial"/>
          <w:bCs/>
          <w:sz w:val="20"/>
          <w:szCs w:val="20"/>
          <w:lang w:eastAsia="es-MX"/>
        </w:rPr>
      </w:pPr>
    </w:p>
    <w:p w:rsidR="006B0C9C" w:rsidP="007D3CA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6B0C9C" w:rsidP="007D3CA4">
      <w:pPr>
        <w:autoSpaceDE w:val="0"/>
        <w:autoSpaceDN w:val="0"/>
        <w:adjustRightInd w:val="0"/>
        <w:spacing w:after="0" w:line="240" w:lineRule="auto"/>
        <w:rPr>
          <w:rFonts w:ascii="Arial" w:hAnsi="Arial" w:cs="Arial"/>
          <w:bCs/>
          <w:sz w:val="20"/>
          <w:szCs w:val="20"/>
          <w:lang w:eastAsia="es-MX"/>
        </w:rPr>
      </w:pPr>
    </w:p>
    <w:p w:rsidR="007D3CA4" w:rsidRPr="00BB216F" w:rsidP="007D3CA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7D3CA4" w:rsidRPr="00E74967" w:rsidP="007D3CA4">
      <w:pPr>
        <w:tabs>
          <w:tab w:val="left" w:leader="underscore" w:pos="9639"/>
        </w:tabs>
        <w:spacing w:after="0" w:line="240" w:lineRule="auto"/>
        <w:jc w:val="both"/>
        <w:rPr>
          <w:rFonts w:cs="Calibri"/>
        </w:rPr>
      </w:pPr>
    </w:p>
    <w:p w:rsidR="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BC0C3F" w:rsidRPr="00E74967" w:rsidP="00CB41C4">
      <w:pPr>
        <w:tabs>
          <w:tab w:val="left" w:leader="underscore" w:pos="9639"/>
        </w:tabs>
        <w:spacing w:after="0" w:line="240" w:lineRule="auto"/>
        <w:jc w:val="both"/>
        <w:rPr>
          <w:rFonts w:cs="Calibri"/>
        </w:rPr>
      </w:pPr>
    </w:p>
    <w:p w:rsidR="007D3CA4" w:rsidRPr="00A06487" w:rsidP="00CB41C4">
      <w:pPr>
        <w:tabs>
          <w:tab w:val="left" w:leader="underscore" w:pos="9639"/>
        </w:tabs>
        <w:spacing w:after="0" w:line="240" w:lineRule="auto"/>
        <w:jc w:val="both"/>
        <w:rPr>
          <w:rFonts w:cs="Calibri"/>
        </w:rPr>
      </w:pPr>
      <w:r>
        <w:rPr>
          <w:rFonts w:cs="Calibri"/>
          <w:noProof/>
          <w:lang w:eastAsia="es-MX"/>
        </w:rPr>
        <w:drawing>
          <wp:inline distT="0" distB="0" distL="0" distR="0">
            <wp:extent cx="6074676" cy="4558090"/>
            <wp:effectExtent l="19050" t="0" r="227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cstate="print"/>
                    <a:srcRect l="19198" t="14398" r="20255" b="4734"/>
                    <a:stretch>
                      <a:fillRect/>
                    </a:stretch>
                  </pic:blipFill>
                  <pic:spPr bwMode="auto">
                    <a:xfrm>
                      <a:off x="0" y="0"/>
                      <a:ext cx="6074676" cy="4558090"/>
                    </a:xfrm>
                    <a:prstGeom prst="rect">
                      <a:avLst/>
                    </a:prstGeom>
                    <a:noFill/>
                    <a:ln w="9525">
                      <a:noFill/>
                      <a:miter lim="800000"/>
                      <a:headEnd/>
                      <a:tailEnd/>
                    </a:ln>
                  </pic:spPr>
                </pic:pic>
              </a:graphicData>
            </a:graphic>
          </wp:inline>
        </w:drawing>
      </w:r>
    </w:p>
    <w:p w:rsidR="007D3CA4" w:rsidP="00CB41C4">
      <w:pPr>
        <w:tabs>
          <w:tab w:val="left" w:leader="underscore" w:pos="9639"/>
        </w:tabs>
        <w:spacing w:after="0" w:line="240" w:lineRule="auto"/>
        <w:jc w:val="both"/>
        <w:rPr>
          <w:rFonts w:cs="Calibri"/>
          <w:b/>
        </w:rPr>
      </w:pPr>
    </w:p>
    <w:p w:rsidR="007D3CA4" w:rsidP="00CB41C4">
      <w:pPr>
        <w:tabs>
          <w:tab w:val="left" w:leader="underscore" w:pos="9639"/>
        </w:tabs>
        <w:spacing w:after="0" w:line="240" w:lineRule="auto"/>
        <w:jc w:val="both"/>
        <w:rPr>
          <w:rFonts w:cs="Calibri"/>
          <w:b/>
        </w:rPr>
      </w:pPr>
    </w:p>
    <w:p w:rsidR="007D3CA4" w:rsidP="00CB41C4">
      <w:pPr>
        <w:tabs>
          <w:tab w:val="left" w:leader="underscore" w:pos="9639"/>
        </w:tabs>
        <w:spacing w:after="0" w:line="240" w:lineRule="auto"/>
        <w:jc w:val="both"/>
        <w:rPr>
          <w:rFonts w:cs="Calibri"/>
          <w:b/>
        </w:rPr>
      </w:pPr>
    </w:p>
    <w:p w:rsidR="007D3CA4" w:rsidP="00CB41C4">
      <w:pPr>
        <w:tabs>
          <w:tab w:val="left" w:leader="underscore" w:pos="9639"/>
        </w:tabs>
        <w:spacing w:after="0" w:line="240" w:lineRule="auto"/>
        <w:jc w:val="both"/>
        <w:rPr>
          <w:rFonts w:cs="Calibri"/>
          <w:b/>
        </w:rPr>
      </w:pPr>
    </w:p>
    <w:p w:rsidR="007D1E76" w:rsidRPr="00E74967"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sidR="00657009">
        <w:rPr>
          <w:rFonts w:cs="Calibri"/>
        </w:rPr>
        <w:t>fideicomisario</w:t>
      </w:r>
      <w:r w:rsidRPr="00E74967">
        <w:rPr>
          <w:rFonts w:cs="Calibri"/>
        </w:rPr>
        <w:t>.</w:t>
      </w:r>
    </w:p>
    <w:p w:rsidR="007D3CA4" w:rsidRPr="00BB216F" w:rsidP="007D3CA4">
      <w:pPr>
        <w:spacing w:after="0" w:line="240" w:lineRule="auto"/>
        <w:jc w:val="both"/>
        <w:rPr>
          <w:rFonts w:ascii="Arial" w:hAnsi="Arial" w:cs="Arial"/>
        </w:rPr>
      </w:pPr>
      <w:r w:rsidRPr="00BB216F">
        <w:rPr>
          <w:rFonts w:ascii="Arial" w:hAnsi="Arial" w:cs="Arial"/>
          <w:sz w:val="20"/>
          <w:szCs w:val="20"/>
        </w:rPr>
        <w:t>No Aplica</w:t>
      </w:r>
    </w:p>
    <w:p w:rsidR="007D1E76" w:rsidP="00CB41C4">
      <w:pPr>
        <w:tabs>
          <w:tab w:val="left" w:leader="underscore" w:pos="9639"/>
        </w:tabs>
        <w:spacing w:after="0" w:line="240" w:lineRule="auto"/>
        <w:jc w:val="both"/>
        <w:rPr>
          <w:rFonts w:cs="Calibri"/>
        </w:rPr>
      </w:pPr>
    </w:p>
    <w:p w:rsidR="00CB41C4"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Pr="000C3365" w:rsidR="00E00323">
        <w:rPr>
          <w:rFonts w:asciiTheme="minorHAnsi" w:hAnsiTheme="minorHAnsi" w:cstheme="minorHAnsi"/>
          <w:b/>
          <w:color w:val="auto"/>
          <w:sz w:val="22"/>
        </w:rPr>
        <w:t>n de los Estados Financieros:</w:t>
      </w:r>
      <w:bookmarkEnd w:id="5"/>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3CA4" w:rsidRPr="00E74967" w:rsidP="007D3CA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6B0C9C">
        <w:rPr>
          <w:rFonts w:cs="Calibri"/>
        </w:rPr>
        <w:t>Se</w:t>
      </w:r>
      <w:r w:rsidR="00A64B81">
        <w:rPr>
          <w:rFonts w:cs="Calibri"/>
        </w:rPr>
        <w:t xml:space="preserv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3CA4" w:rsidRPr="00BB216F" w:rsidP="007D3CA4">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02FA4" w:rsidP="00102FA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7D3CA4"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*Plan de implementación:</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3CA4" w:rsidRPr="00E74967" w:rsidP="007D3CA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0C3365">
      <w:pPr>
        <w:pStyle w:val="Heading2"/>
        <w:rPr>
          <w:rFonts w:cs="Calibri"/>
          <w:b/>
        </w:rPr>
      </w:pPr>
      <w:bookmarkStart w:id="6" w:name="_Toc508279626"/>
      <w:r w:rsidRPr="000C3365">
        <w:rPr>
          <w:rFonts w:asciiTheme="minorHAnsi" w:hAnsiTheme="minorHAnsi" w:cstheme="minorHAnsi"/>
          <w:b/>
          <w:color w:val="auto"/>
          <w:sz w:val="22"/>
        </w:rPr>
        <w:t>6. Políticas de</w:t>
      </w:r>
      <w:r w:rsidRPr="000C3365" w:rsidR="00E00323">
        <w:rPr>
          <w:rFonts w:asciiTheme="minorHAnsi" w:hAnsiTheme="minorHAnsi" w:cstheme="minorHAnsi"/>
          <w:b/>
          <w:color w:val="auto"/>
          <w:sz w:val="22"/>
        </w:rPr>
        <w:t xml:space="preserve"> Contabilidad Significativas:</w:t>
      </w:r>
      <w:bookmarkEnd w:id="6"/>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Pr="00E74967" w:rsidR="00657009">
        <w:rPr>
          <w:rFonts w:cs="Calibri"/>
        </w:rPr>
        <w:t>P</w:t>
      </w:r>
      <w:r w:rsidRPr="00E74967">
        <w:rPr>
          <w:rFonts w:cs="Calibri"/>
        </w:rPr>
        <w:t>atrimonio y las razones de dicha elección. Así como informar de la desconexión o reconexión inflacionaria:</w:t>
      </w:r>
    </w:p>
    <w:p w:rsidR="007D3CA4" w:rsidRPr="00BB216F" w:rsidP="007D3CA4">
      <w:pPr>
        <w:jc w:val="both"/>
        <w:rPr>
          <w:rFonts w:ascii="Arial" w:hAnsi="Arial" w:cs="Arial"/>
          <w:sz w:val="20"/>
          <w:szCs w:val="20"/>
        </w:rPr>
      </w:pPr>
      <w:r>
        <w:rPr>
          <w:rFonts w:ascii="Arial" w:hAnsi="Arial" w:cs="Arial"/>
          <w:sz w:val="20"/>
          <w:szCs w:val="20"/>
        </w:rPr>
        <w:t xml:space="preserve">Se </w:t>
      </w:r>
      <w:r w:rsidR="00B27857">
        <w:rPr>
          <w:rFonts w:ascii="Arial" w:hAnsi="Arial" w:cs="Arial"/>
          <w:sz w:val="20"/>
          <w:szCs w:val="20"/>
        </w:rPr>
        <w:t xml:space="preserve">aplica conforme a las reglas de registro y valoración del patrimonio.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3CA4" w:rsidRPr="00BB216F" w:rsidP="007D3CA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3CA4" w:rsidRPr="00BB216F" w:rsidP="007D3CA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3CA4" w:rsidRPr="00BB216F" w:rsidP="007D3CA4">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w:t>
      </w:r>
      <w:r w:rsidR="00586FDF">
        <w:rPr>
          <w:rFonts w:asciiTheme="minorHAnsi" w:hAnsiTheme="minorHAnsi" w:cstheme="minorHAnsi"/>
          <w:sz w:val="24"/>
          <w:szCs w:val="24"/>
        </w:rPr>
        <w:t>cuenta con reserva actuarial.</w:t>
      </w:r>
    </w:p>
    <w:p w:rsidR="00B27857"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B27857" w:rsidRPr="00BB216F" w:rsidP="00B27857">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3CA4" w:rsidRPr="00BB216F" w:rsidP="007D3CA4">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7D1E76" w:rsidRPr="00E74967" w:rsidP="00CB41C4">
      <w:pPr>
        <w:tabs>
          <w:tab w:val="left" w:leader="underscore" w:pos="9639"/>
        </w:tabs>
        <w:spacing w:after="0" w:line="240" w:lineRule="auto"/>
        <w:jc w:val="both"/>
        <w:rPr>
          <w:rFonts w:cs="Calibri"/>
        </w:rPr>
      </w:pPr>
    </w:p>
    <w:p w:rsidR="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3CA4" w:rsidRPr="00E74967" w:rsidP="00CB41C4">
      <w:pPr>
        <w:tabs>
          <w:tab w:val="left" w:leader="underscore" w:pos="9639"/>
        </w:tabs>
        <w:spacing w:after="0" w:line="240" w:lineRule="auto"/>
        <w:jc w:val="both"/>
        <w:rPr>
          <w:rFonts w:cs="Calibri"/>
        </w:rPr>
      </w:pPr>
    </w:p>
    <w:p w:rsidR="007D3CA4" w:rsidRPr="00BB216F" w:rsidP="007D3CA4">
      <w:pPr>
        <w:jc w:val="both"/>
        <w:rPr>
          <w:rFonts w:ascii="Arial" w:hAnsi="Arial" w:cs="Arial"/>
          <w:sz w:val="20"/>
          <w:szCs w:val="20"/>
        </w:rPr>
      </w:pPr>
      <w:r>
        <w:rPr>
          <w:rFonts w:ascii="Arial" w:hAnsi="Arial" w:cs="Arial"/>
          <w:sz w:val="20"/>
          <w:szCs w:val="20"/>
        </w:rPr>
        <w:t>A partir del ejercicio 2016 se realizo la aplicación conforme a ley del reconocimiento de ingresos presupuestales-contables, por lo cual se vio afectado el patrimonio y resultados de ejercicios anteriores</w:t>
      </w:r>
      <w:r w:rsidR="00586FDF">
        <w:rPr>
          <w:rFonts w:ascii="Arial" w:hAnsi="Arial" w:cs="Arial"/>
          <w:sz w:val="20"/>
          <w:szCs w:val="20"/>
        </w:rPr>
        <w:t xml:space="preserve">, esto conforme a las normas y metodología para la determinación de los momentos contables de ingresos. </w:t>
      </w:r>
      <w:r>
        <w:rPr>
          <w:rFonts w:ascii="Arial" w:hAnsi="Arial" w:cs="Arial"/>
          <w:sz w:val="20"/>
          <w:szCs w:val="20"/>
        </w:rPr>
        <w:t xml:space="preserve">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w:t>
      </w:r>
      <w:r w:rsidR="00586FDF">
        <w:rPr>
          <w:rFonts w:asciiTheme="minorHAnsi" w:hAnsiTheme="minorHAnsi" w:cstheme="minorHAnsi"/>
          <w:sz w:val="24"/>
          <w:szCs w:val="24"/>
        </w:rPr>
        <w:t xml:space="preserve">conforme a lo establecido </w:t>
      </w:r>
      <w:r w:rsidR="005D4A9B">
        <w:rPr>
          <w:rFonts w:asciiTheme="minorHAnsi" w:hAnsiTheme="minorHAnsi" w:cstheme="minorHAnsi"/>
          <w:sz w:val="24"/>
          <w:szCs w:val="24"/>
        </w:rPr>
        <w:t xml:space="preserve">en la Armonizacion contable. </w:t>
      </w:r>
    </w:p>
    <w:p w:rsidR="00AC0549" w:rsidP="00CB41C4">
      <w:pPr>
        <w:tabs>
          <w:tab w:val="left" w:leader="underscore" w:pos="9639"/>
        </w:tabs>
        <w:spacing w:after="0" w:line="240" w:lineRule="auto"/>
        <w:jc w:val="both"/>
        <w:rPr>
          <w:rFonts w:asciiTheme="minorHAnsi" w:hAnsiTheme="minorHAnsi" w:cstheme="minorHAnsi"/>
          <w:sz w:val="24"/>
          <w:szCs w:val="24"/>
        </w:rPr>
      </w:pPr>
    </w:p>
    <w:p w:rsidR="00AC0549" w:rsidP="00CB41C4">
      <w:pPr>
        <w:tabs>
          <w:tab w:val="left" w:leader="underscore" w:pos="9639"/>
        </w:tabs>
        <w:spacing w:after="0" w:line="240" w:lineRule="auto"/>
        <w:jc w:val="both"/>
        <w:rPr>
          <w:rFonts w:asciiTheme="minorHAnsi" w:hAnsiTheme="minorHAnsi" w:cstheme="minorHAnsi"/>
          <w:sz w:val="24"/>
          <w:szCs w:val="24"/>
        </w:rPr>
      </w:pPr>
    </w:p>
    <w:p w:rsidR="00AC0549" w:rsidP="00CB41C4">
      <w:pPr>
        <w:tabs>
          <w:tab w:val="left" w:leader="underscore" w:pos="9639"/>
        </w:tabs>
        <w:spacing w:after="0" w:line="240" w:lineRule="auto"/>
        <w:jc w:val="both"/>
        <w:rPr>
          <w:rFonts w:asciiTheme="minorHAnsi" w:hAnsiTheme="minorHAnsi" w:cstheme="minorHAnsi"/>
          <w:sz w:val="24"/>
          <w:szCs w:val="24"/>
        </w:rPr>
      </w:pPr>
    </w:p>
    <w:p w:rsidR="00B27857" w:rsidRPr="00E74967" w:rsidP="00CB41C4">
      <w:pPr>
        <w:tabs>
          <w:tab w:val="left" w:leader="underscore" w:pos="9639"/>
        </w:tabs>
        <w:spacing w:after="0" w:line="240" w:lineRule="auto"/>
        <w:jc w:val="both"/>
        <w:rPr>
          <w:rFonts w:cs="Calibri"/>
        </w:rPr>
      </w:pPr>
    </w:p>
    <w:p w:rsidR="007D3CA4" w:rsidRPr="00B27857" w:rsidP="00B27857">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483FE0"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Se realiza depuración de saldos anualmente y c</w:t>
      </w:r>
      <w:r w:rsidR="005D4A9B">
        <w:rPr>
          <w:rFonts w:asciiTheme="minorHAnsi" w:hAnsiTheme="minorHAnsi" w:cstheme="minorHAnsi"/>
          <w:sz w:val="24"/>
          <w:szCs w:val="24"/>
        </w:rPr>
        <w:t xml:space="preserve">ancelación de saldos de cuentas por cobrar derivadas de los créditos a los beneficiarios, esto último derivado de sentencia o renuncia voluntaria.  </w:t>
      </w:r>
    </w:p>
    <w:p w:rsidR="007D1E76" w:rsidRPr="00E74967" w:rsidP="00CB41C4">
      <w:pPr>
        <w:tabs>
          <w:tab w:val="left" w:leader="underscore" w:pos="9639"/>
        </w:tabs>
        <w:spacing w:after="0" w:line="240" w:lineRule="auto"/>
        <w:jc w:val="both"/>
        <w:rPr>
          <w:rFonts w:cs="Calibri"/>
        </w:rPr>
      </w:pPr>
    </w:p>
    <w:p w:rsidR="00E00323"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Pr="000C3365" w:rsidR="00E00323">
        <w:rPr>
          <w:rFonts w:asciiTheme="minorHAnsi" w:hAnsiTheme="minorHAnsi" w:cstheme="minorHAnsi"/>
          <w:b/>
          <w:color w:val="auto"/>
          <w:sz w:val="22"/>
        </w:rPr>
        <w:t>tección por Riesgo Cambiario:</w:t>
      </w:r>
      <w:bookmarkEnd w:id="7"/>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Pr="00E74967" w:rsidR="00E00323">
        <w:rPr>
          <w:rFonts w:cs="Calibri"/>
        </w:rPr>
        <w:t>aciones en el tipo de cambio.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Pr="000C3365" w:rsidR="00E00323">
        <w:rPr>
          <w:rFonts w:asciiTheme="minorHAnsi" w:hAnsiTheme="minorHAnsi" w:cstheme="minorHAnsi"/>
          <w:b/>
          <w:color w:val="auto"/>
          <w:sz w:val="22"/>
        </w:rPr>
        <w:t>Reporte Analítico del Activo:</w:t>
      </w:r>
      <w:bookmarkEnd w:id="8"/>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Debe mostrar la siguien</w:t>
      </w:r>
      <w:r w:rsidRPr="00E74967" w:rsidR="00E00323">
        <w:rPr>
          <w:rFonts w:cs="Calibri"/>
        </w:rPr>
        <w:t>te información:</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7D3CA4" w:rsidRPr="00BB216F" w:rsidP="007D3CA4">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Pr="00E74967" w:rsidR="001973A2">
        <w:rPr>
          <w:rFonts w:cs="Calibri"/>
        </w:rPr>
        <w:t>s</w:t>
      </w:r>
      <w:r w:rsidRPr="00E74967">
        <w:rPr>
          <w:rFonts w:cs="Calibri"/>
        </w:rPr>
        <w:t>gos por tipo de cambio o tipo de interés de las inversiones financieras:</w:t>
      </w:r>
    </w:p>
    <w:p w:rsidR="00B27857"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P="00CB41C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5D4A9B" w:rsidRPr="00E74967" w:rsidP="00CB41C4">
      <w:pPr>
        <w:tabs>
          <w:tab w:val="left" w:leader="underscore" w:pos="9639"/>
        </w:tabs>
        <w:spacing w:after="0" w:line="240" w:lineRule="auto"/>
        <w:jc w:val="both"/>
        <w:rPr>
          <w:rFonts w:cs="Calibri"/>
          <w:b/>
        </w:rPr>
      </w:pPr>
    </w:p>
    <w:p w:rsidR="007D1E76" w:rsidRPr="00E74967"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483FE0">
        <w:rPr>
          <w:rFonts w:asciiTheme="minorHAnsi" w:hAnsiTheme="minorHAnsi" w:cstheme="minorHAnsi"/>
          <w:sz w:val="24"/>
          <w:szCs w:val="24"/>
        </w:rPr>
        <w:t xml:space="preserve">, no han habido circunstancias que afecten el activo.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B27857" w:rsidRPr="005D4A9B" w:rsidP="00B27857">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w:t>
      </w:r>
      <w:r w:rsidRPr="005D4A9B" w:rsidR="00483FE0">
        <w:rPr>
          <w:rFonts w:asciiTheme="minorHAnsi" w:hAnsiTheme="minorHAnsi" w:cstheme="minorHAnsi"/>
          <w:sz w:val="24"/>
          <w:szCs w:val="24"/>
        </w:rPr>
        <w:t>, no ha</w:t>
      </w:r>
      <w:r w:rsidR="005D4A9B">
        <w:rPr>
          <w:rFonts w:asciiTheme="minorHAnsi" w:hAnsiTheme="minorHAnsi" w:cstheme="minorHAnsi"/>
          <w:sz w:val="24"/>
          <w:szCs w:val="24"/>
        </w:rPr>
        <w:t>n habido</w:t>
      </w:r>
      <w:r w:rsidRPr="005D4A9B" w:rsidR="00483FE0">
        <w:rPr>
          <w:rFonts w:asciiTheme="minorHAnsi" w:hAnsiTheme="minorHAnsi" w:cstheme="minorHAnsi"/>
          <w:sz w:val="24"/>
          <w:szCs w:val="24"/>
        </w:rPr>
        <w:t xml:space="preserve"> desmantelamiento de activos, </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B27857"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5E231E"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Pr="00E74967" w:rsidR="005E231E">
        <w:rPr>
          <w:rFonts w:cs="Calibri"/>
        </w:rPr>
        <w:t>dros comparativos como sigue: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B27857" w:rsidP="00B2785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9E68A5">
        <w:rPr>
          <w:rFonts w:asciiTheme="minorHAnsi" w:hAnsiTheme="minorHAnsi" w:cstheme="minorHAnsi"/>
          <w:sz w:val="24"/>
          <w:szCs w:val="24"/>
        </w:rPr>
        <w:t>, no hay participación de patrimonio indirecto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B27857" w:rsidP="00B2785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9E68A5">
        <w:rPr>
          <w:rFonts w:asciiTheme="minorHAnsi" w:hAnsiTheme="minorHAnsi" w:cstheme="minorHAnsi"/>
          <w:sz w:val="24"/>
          <w:szCs w:val="24"/>
        </w:rPr>
        <w:t>, no se tienen inversiones en empresas de participación mayoritaria</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9E68A5" w:rsidP="009E68A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rsidR="00B27857" w:rsidP="00B27857">
      <w:pPr>
        <w:tabs>
          <w:tab w:val="left" w:leader="underscore" w:pos="9639"/>
        </w:tabs>
        <w:spacing w:after="0" w:line="240" w:lineRule="auto"/>
        <w:jc w:val="both"/>
        <w:rPr>
          <w:rFonts w:asciiTheme="minorHAnsi" w:hAnsiTheme="minorHAnsi" w:cstheme="minorHAnsi"/>
          <w:sz w:val="24"/>
          <w:szCs w:val="24"/>
        </w:rPr>
      </w:pPr>
    </w:p>
    <w:p w:rsidR="007D1E76" w:rsidRPr="00E74967"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9E68A5" w:rsidP="009E68A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rsidR="00B27857" w:rsidP="00B27857">
      <w:pPr>
        <w:tabs>
          <w:tab w:val="left" w:leader="underscore" w:pos="9639"/>
        </w:tabs>
        <w:spacing w:after="0" w:line="240" w:lineRule="auto"/>
        <w:jc w:val="both"/>
        <w:rPr>
          <w:rFonts w:asciiTheme="minorHAnsi" w:hAnsiTheme="minorHAnsi" w:cstheme="minorHAnsi"/>
          <w:sz w:val="24"/>
          <w:szCs w:val="24"/>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Pr="000C3365" w:rsidR="005E231E">
        <w:rPr>
          <w:rFonts w:asciiTheme="minorHAnsi" w:hAnsiTheme="minorHAnsi" w:cstheme="minorHAnsi"/>
          <w:b/>
          <w:color w:val="auto"/>
          <w:sz w:val="22"/>
        </w:rPr>
        <w:t>comisos, Mandatos y Análogos:</w:t>
      </w:r>
      <w:bookmarkEnd w:id="9"/>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9E68A5"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9E68A5" w:rsidP="009E68A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9E68A5"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La recaudación</w:t>
      </w:r>
      <w:r w:rsidR="00BE1180">
        <w:rPr>
          <w:rFonts w:asciiTheme="minorHAnsi" w:hAnsiTheme="minorHAnsi" w:cstheme="minorHAnsi"/>
          <w:sz w:val="24"/>
          <w:szCs w:val="24"/>
        </w:rPr>
        <w:t xml:space="preserve"> de ingresos promedio de Enero- </w:t>
      </w:r>
      <w:r w:rsidR="002264C3">
        <w:rPr>
          <w:rFonts w:asciiTheme="minorHAnsi" w:hAnsiTheme="minorHAnsi" w:cstheme="minorHAnsi"/>
          <w:sz w:val="24"/>
          <w:szCs w:val="24"/>
        </w:rPr>
        <w:t>Septiembre</w:t>
      </w:r>
      <w:r>
        <w:rPr>
          <w:rFonts w:asciiTheme="minorHAnsi" w:hAnsiTheme="minorHAnsi" w:cstheme="minorHAnsi"/>
          <w:sz w:val="24"/>
          <w:szCs w:val="24"/>
        </w:rPr>
        <w:t xml:space="preserve"> </w:t>
      </w:r>
      <w:r w:rsidR="00910642">
        <w:rPr>
          <w:rFonts w:asciiTheme="minorHAnsi" w:hAnsiTheme="minorHAnsi" w:cstheme="minorHAnsi"/>
          <w:sz w:val="24"/>
          <w:szCs w:val="24"/>
        </w:rPr>
        <w:t>fue m</w:t>
      </w:r>
      <w:r w:rsidR="00343A2D">
        <w:rPr>
          <w:rFonts w:asciiTheme="minorHAnsi" w:hAnsiTheme="minorHAnsi" w:cstheme="minorHAnsi"/>
          <w:sz w:val="24"/>
          <w:szCs w:val="24"/>
        </w:rPr>
        <w:t>enor</w:t>
      </w:r>
      <w:r>
        <w:rPr>
          <w:rFonts w:asciiTheme="minorHAnsi" w:hAnsiTheme="minorHAnsi" w:cstheme="minorHAnsi"/>
          <w:sz w:val="24"/>
          <w:szCs w:val="24"/>
        </w:rPr>
        <w:t xml:space="preserve"> conforme a lo proyectado en el pronóstico de ingresos. </w:t>
      </w:r>
    </w:p>
    <w:p w:rsidR="009E68A5"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2039A5"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Pr="000C3365" w:rsidR="005E231E">
        <w:rPr>
          <w:rFonts w:asciiTheme="minorHAnsi" w:hAnsiTheme="minorHAnsi" w:cstheme="minorHAnsi"/>
          <w:b/>
          <w:color w:val="auto"/>
          <w:sz w:val="22"/>
        </w:rPr>
        <w:t>eporte Analítico de la Deuda:</w:t>
      </w:r>
      <w:bookmarkEnd w:id="11"/>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Pr="00E74967" w:rsidR="001973A2">
        <w:rPr>
          <w:rFonts w:cs="Calibri"/>
        </w:rPr>
        <w:t>n</w:t>
      </w:r>
      <w:r w:rsidRPr="00E74967">
        <w:rPr>
          <w:rFonts w:cs="Calibri"/>
        </w:rPr>
        <w:t xml:space="preserve"> intereses, comisiones, tasa, perfil de vencimiento y otros gastos de la deuda.</w:t>
      </w:r>
    </w:p>
    <w:p w:rsidR="007D1E76" w:rsidRPr="00E74967" w:rsidP="00CB41C4">
      <w:pPr>
        <w:tabs>
          <w:tab w:val="left" w:leader="underscore" w:pos="9639"/>
        </w:tabs>
        <w:spacing w:after="0" w:line="240" w:lineRule="auto"/>
        <w:jc w:val="both"/>
        <w:rPr>
          <w:rFonts w:cs="Calibri"/>
        </w:rPr>
      </w:pPr>
      <w:r w:rsidRPr="00E74967">
        <w:rPr>
          <w:rFonts w:cs="Calibri"/>
        </w:rPr>
        <w:t xml:space="preserve">* Se </w:t>
      </w:r>
      <w:r w:rsidRPr="00E74967" w:rsidR="000C3365">
        <w:rPr>
          <w:rFonts w:cs="Calibri"/>
        </w:rPr>
        <w:t>anexará</w:t>
      </w:r>
      <w:r w:rsidRPr="00E74967">
        <w:rPr>
          <w:rFonts w:cs="Calibri"/>
        </w:rPr>
        <w:t xml:space="preserve"> la informació</w:t>
      </w:r>
      <w:r w:rsidRPr="00E74967" w:rsidR="005E231E">
        <w:rPr>
          <w:rFonts w:cs="Calibri"/>
        </w:rPr>
        <w:t>n en las notas de desglose.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Pr="000C3365" w:rsidR="005E231E">
        <w:rPr>
          <w:rFonts w:asciiTheme="minorHAnsi" w:hAnsiTheme="minorHAnsi" w:cstheme="minorHAnsi"/>
          <w:b/>
          <w:color w:val="auto"/>
          <w:sz w:val="22"/>
        </w:rPr>
        <w:t xml:space="preserve"> Calificaciones otorgadas:</w:t>
      </w:r>
      <w:bookmarkEnd w:id="12"/>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informará de:</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5C108B" w:rsidP="005C108B">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En general, nos apegamos a los Lineamientos Generales de Racionalidad, Austeridad y Disciplina Presupuestal aprobados por el H. Ayuntamiento para el Ejercicio 20</w:t>
      </w:r>
      <w:r w:rsidR="00CF31BA">
        <w:rPr>
          <w:rFonts w:ascii="Arial" w:hAnsi="Arial" w:cs="Arial"/>
          <w:sz w:val="20"/>
          <w:szCs w:val="20"/>
        </w:rPr>
        <w:t>20</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5C108B" w:rsidRPr="00E74967" w:rsidP="005C108B">
      <w:pPr>
        <w:tabs>
          <w:tab w:val="left" w:leader="underscore" w:pos="9639"/>
        </w:tabs>
        <w:spacing w:after="0" w:line="240" w:lineRule="auto"/>
        <w:jc w:val="both"/>
        <w:rPr>
          <w:rFonts w:cs="Calibri"/>
        </w:rPr>
      </w:pPr>
      <w:r>
        <w:rPr>
          <w:rFonts w:cs="Calibri"/>
        </w:rPr>
        <w:t>Conforme al PBR</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Pr="000C3365" w:rsidR="005E231E">
        <w:rPr>
          <w:rFonts w:asciiTheme="minorHAnsi" w:hAnsiTheme="minorHAnsi" w:cstheme="minorHAnsi"/>
          <w:b/>
          <w:color w:val="auto"/>
          <w:sz w:val="22"/>
        </w:rPr>
        <w:t>4. Información por Segmentos:</w:t>
      </w:r>
      <w:bookmarkEnd w:id="14"/>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Pr="00E74967" w:rsidR="005E231E">
        <w:rPr>
          <w:rFonts w:cs="Calibri"/>
        </w:rPr>
        <w:t>imiento potencial de negocio.</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Pr="000C3365" w:rsidR="005E231E">
        <w:rPr>
          <w:rFonts w:asciiTheme="minorHAnsi" w:hAnsiTheme="minorHAnsi" w:cstheme="minorHAnsi"/>
          <w:b/>
          <w:color w:val="auto"/>
          <w:sz w:val="22"/>
        </w:rPr>
        <w:t>ventos Posteriores al Cierre:</w:t>
      </w:r>
      <w:bookmarkEnd w:id="15"/>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Pr="00E74967" w:rsidR="005E231E">
        <w:rPr>
          <w:rFonts w:cs="Calibri"/>
        </w:rPr>
        <w:t>cían a la fecha de cierre.</w:t>
      </w:r>
      <w:r w:rsidRPr="00E74967" w:rsidR="005E231E">
        <w:rPr>
          <w:rFonts w:cs="Calibri"/>
        </w:rPr>
        <w:cr/>
      </w:r>
    </w:p>
    <w:p w:rsidR="007D1E76" w:rsidRPr="00E74967" w:rsidP="00CB41C4">
      <w:pPr>
        <w:tabs>
          <w:tab w:val="left" w:leader="underscore" w:pos="9639"/>
        </w:tabs>
        <w:spacing w:after="0" w:line="240" w:lineRule="auto"/>
        <w:jc w:val="both"/>
        <w:rPr>
          <w:rFonts w:cs="Calibri"/>
        </w:rPr>
      </w:pPr>
    </w:p>
    <w:p w:rsidR="007D1E76" w:rsidRPr="000C3365" w:rsidP="000C3365">
      <w:pPr>
        <w:pStyle w:val="Heading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5C108B" w:rsidRPr="00BB216F" w:rsidP="005C108B">
      <w:pPr>
        <w:jc w:val="both"/>
        <w:rPr>
          <w:rFonts w:ascii="Arial" w:hAnsi="Arial" w:cs="Arial"/>
          <w:sz w:val="20"/>
          <w:szCs w:val="20"/>
        </w:rPr>
      </w:pPr>
      <w:r w:rsidRPr="00BB216F">
        <w:rPr>
          <w:rFonts w:ascii="Arial" w:hAnsi="Arial" w:cs="Arial"/>
          <w:sz w:val="20"/>
          <w:szCs w:val="20"/>
        </w:rPr>
        <w:t>No existen.</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F46719" w:rsidP="00F46719">
      <w:pPr>
        <w:pStyle w:val="Heading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Pr="00F46719" w:rsidR="001973A2">
        <w:rPr>
          <w:rFonts w:asciiTheme="minorHAnsi" w:hAnsiTheme="minorHAnsi" w:cstheme="minorHAnsi"/>
          <w:b/>
          <w:color w:val="auto"/>
          <w:sz w:val="22"/>
        </w:rPr>
        <w:t>Responsabilidad Sobre la Presentación Razonable de la Información Contable</w:t>
      </w:r>
      <w:r w:rsidRPr="00F46719" w:rsidR="005E231E">
        <w:rPr>
          <w:rFonts w:asciiTheme="minorHAnsi" w:hAnsiTheme="minorHAnsi" w:cstheme="minorHAnsi"/>
          <w:b/>
          <w:color w:val="auto"/>
          <w:sz w:val="22"/>
        </w:rPr>
        <w:t>:</w:t>
      </w:r>
      <w:bookmarkEnd w:id="17"/>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P="00CB41C4">
      <w:pPr>
        <w:pBdr>
          <w:bottom w:val="single" w:sz="12" w:space="1" w:color="auto"/>
        </w:pBdr>
        <w:tabs>
          <w:tab w:val="left" w:leader="underscore" w:pos="9639"/>
        </w:tabs>
        <w:spacing w:after="0" w:line="240" w:lineRule="auto"/>
        <w:jc w:val="both"/>
        <w:rPr>
          <w:rFonts w:cs="Calibri"/>
        </w:rPr>
      </w:pPr>
    </w:p>
    <w:p w:rsidR="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P="00CB41C4">
      <w:pPr>
        <w:pBdr>
          <w:bottom w:val="single" w:sz="12" w:space="1" w:color="auto"/>
        </w:pBdr>
        <w:tabs>
          <w:tab w:val="left" w:leader="underscore" w:pos="9639"/>
        </w:tabs>
        <w:spacing w:after="0" w:line="240" w:lineRule="auto"/>
        <w:jc w:val="both"/>
        <w:rPr>
          <w:rFonts w:cs="Calibri"/>
        </w:rPr>
        <w:sectPr w:rsidSect="0012405A">
          <w:headerReference w:type="default" r:id="rId10"/>
          <w:footerReference w:type="default" r:id="rId11"/>
          <w:pgSz w:w="12240" w:h="15840" w:code="1"/>
          <w:pgMar w:top="1418" w:right="1134" w:bottom="1134" w:left="1418" w:header="709" w:footer="567" w:gutter="0"/>
          <w:cols w:space="708"/>
          <w:docGrid w:linePitch="360"/>
        </w:sectPr>
      </w:pPr>
    </w:p>
    <w:p w:rsidR="0012031E" w:rsidP="00E0751D">
      <w:pPr>
        <w:spacing w:after="0" w:line="240" w:lineRule="auto"/>
        <w:rPr>
          <w:rFonts w:asciiTheme="minorHAnsi" w:eastAsiaTheme="minorHAnsi" w:hAnsiTheme="minorHAnsi" w:cstheme="minorBidi"/>
        </w:rPr>
      </w:pPr>
    </w:p>
    <w:p w:rsidR="0012031E" w:rsidP="00E0751D">
      <w:pPr>
        <w:spacing w:after="0" w:line="240" w:lineRule="auto"/>
        <w:rPr>
          <w:rFonts w:asciiTheme="minorHAnsi" w:eastAsiaTheme="minorHAnsi" w:hAnsiTheme="minorHAnsi" w:cstheme="minorBidi"/>
        </w:rPr>
      </w:pPr>
    </w:p>
    <w:p w:rsidR="00E0751D" w:rsidRPr="0012031E" w:rsidP="0012031E">
      <w:pPr>
        <w:spacing w:after="0" w:line="240" w:lineRule="auto"/>
        <w:jc w:val="center"/>
        <w:rPr>
          <w:rFonts w:cs="Calibri"/>
          <w:b/>
          <w:color w:val="0000FF"/>
          <w:sz w:val="28"/>
          <w:szCs w:val="28"/>
          <w:u w:val="single"/>
        </w:rPr>
      </w:pPr>
      <w:r w:rsidRPr="0012031E">
        <w:rPr>
          <w:rFonts w:cs="Calibri"/>
          <w:b/>
          <w:color w:val="0000FF"/>
          <w:sz w:val="28"/>
          <w:szCs w:val="28"/>
          <w:u w:val="single"/>
        </w:rPr>
        <w:t>NOTAS DE DICIPLINA FINANCIERA</w:t>
      </w:r>
    </w:p>
    <w:p w:rsidR="00E0751D" w:rsidP="00E0751D">
      <w:pPr>
        <w:spacing w:after="0" w:line="240" w:lineRule="auto"/>
        <w:rPr>
          <w:rFonts w:asciiTheme="minorHAnsi" w:eastAsiaTheme="minorHAnsi" w:hAnsiTheme="minorHAnsi" w:cstheme="minorBidi"/>
        </w:rPr>
      </w:pPr>
    </w:p>
    <w:p w:rsidR="0012031E" w:rsidP="00E0751D">
      <w:pPr>
        <w:spacing w:after="0" w:line="240" w:lineRule="auto"/>
        <w:rPr>
          <w:rFonts w:asciiTheme="minorHAnsi" w:eastAsiaTheme="minorHAnsi" w:hAnsiTheme="minorHAnsi" w:cstheme="minorBidi"/>
        </w:rPr>
      </w:pPr>
    </w:p>
    <w:p w:rsidR="00E0751D" w:rsidRPr="00E0751D" w:rsidP="00E0751D">
      <w:pPr>
        <w:spacing w:after="0" w:line="240" w:lineRule="auto"/>
        <w:rPr>
          <w:rFonts w:asciiTheme="minorHAnsi" w:eastAsiaTheme="minorHAnsi" w:hAnsiTheme="minorHAnsi" w:cstheme="minorBidi"/>
          <w:b/>
        </w:rPr>
      </w:pPr>
      <w:r w:rsidRPr="00E0751D">
        <w:rPr>
          <w:rFonts w:asciiTheme="minorHAnsi" w:eastAsiaTheme="minorHAnsi" w:hAnsiTheme="minorHAnsi" w:cstheme="minorBidi"/>
          <w:b/>
        </w:rPr>
        <w:t>1. Balance Presupuestario de Recursos Disponibles Negativo</w:t>
      </w:r>
    </w:p>
    <w:p w:rsidR="00E0751D" w:rsidP="00E0751D">
      <w:pPr>
        <w:spacing w:after="0" w:line="240" w:lineRule="auto"/>
        <w:rPr>
          <w:rFonts w:asciiTheme="minorHAnsi" w:eastAsiaTheme="minorHAnsi" w:hAnsiTheme="minorHAnsi" w:cstheme="minorBidi"/>
        </w:rPr>
      </w:pPr>
      <w:r>
        <w:rPr>
          <w:rFonts w:asciiTheme="minorHAnsi" w:eastAsiaTheme="minorHAnsi" w:hAnsiTheme="minorHAnsi" w:cstheme="minorBidi"/>
        </w:rPr>
        <w:t>Se informará:</w:t>
      </w:r>
    </w:p>
    <w:p w:rsidR="00E0751D" w:rsidP="0012031E">
      <w:pPr>
        <w:spacing w:after="0" w:line="240" w:lineRule="auto"/>
        <w:jc w:val="both"/>
        <w:rPr>
          <w:rFonts w:asciiTheme="minorHAnsi" w:eastAsiaTheme="minorHAnsi" w:hAnsiTheme="minorHAnsi" w:cstheme="minorBidi"/>
        </w:rPr>
      </w:pPr>
      <w:r>
        <w:rPr>
          <w:rFonts w:asciiTheme="minorHAnsi" w:eastAsiaTheme="minorHAnsi" w:hAnsiTheme="minorHAnsi" w:cstheme="minorBidi"/>
        </w:rPr>
        <w:t>a) Acciones para recuperar el Balance Presupuestario de Recursos Disponibles Sostenible</w:t>
      </w:r>
      <w:r w:rsidR="0012031E">
        <w:rPr>
          <w:rFonts w:asciiTheme="minorHAnsi" w:eastAsiaTheme="minorHAnsi" w:hAnsiTheme="minorHAnsi" w:cstheme="minorBidi"/>
        </w:rPr>
        <w:t>.</w:t>
      </w:r>
    </w:p>
    <w:p w:rsidR="002C4259" w:rsidP="0012031E">
      <w:pPr>
        <w:spacing w:after="0" w:line="240" w:lineRule="auto"/>
        <w:jc w:val="both"/>
        <w:rPr>
          <w:rFonts w:asciiTheme="minorHAnsi" w:eastAsiaTheme="minorHAnsi" w:hAnsiTheme="minorHAnsi" w:cstheme="minorBidi"/>
        </w:rPr>
      </w:pPr>
      <w:r>
        <w:rPr>
          <w:rFonts w:asciiTheme="minorHAnsi" w:eastAsiaTheme="minorHAnsi" w:hAnsiTheme="minorHAnsi" w:cstheme="minorBidi"/>
        </w:rPr>
        <w:t>Balance positivo</w:t>
      </w:r>
    </w:p>
    <w:p w:rsidR="00AF5CAD" w:rsidRPr="00AF5CAD" w:rsidP="00E0751D">
      <w:pPr>
        <w:spacing w:after="0" w:line="240" w:lineRule="auto"/>
        <w:rPr>
          <w:rFonts w:asciiTheme="minorHAnsi" w:eastAsiaTheme="minorHAnsi" w:hAnsiTheme="minorHAnsi" w:cstheme="minorBidi"/>
        </w:rPr>
      </w:pPr>
    </w:p>
    <w:p w:rsidR="00E0751D" w:rsidP="00E0751D">
      <w:pPr>
        <w:spacing w:after="0" w:line="240" w:lineRule="auto"/>
        <w:rPr>
          <w:rFonts w:asciiTheme="minorHAnsi" w:eastAsiaTheme="minorHAnsi" w:hAnsiTheme="minorHAnsi" w:cstheme="minorBidi"/>
          <w: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6 y 19</w:t>
      </w:r>
      <w:r>
        <w:rPr>
          <w:rFonts w:asciiTheme="minorHAnsi" w:eastAsiaTheme="minorHAnsi" w:hAnsiTheme="minorHAnsi" w:cstheme="minorBidi"/>
          <w:i/>
        </w:rPr>
        <w:t xml:space="preserve"> LDF</w:t>
      </w:r>
    </w:p>
    <w:p w:rsidR="00AF5CAD" w:rsidRPr="00AF5CAD" w:rsidP="00E0751D">
      <w:pPr>
        <w:spacing w:after="0" w:line="240" w:lineRule="auto"/>
        <w:rPr>
          <w:rFonts w:asciiTheme="minorHAnsi" w:eastAsiaTheme="minorHAnsi" w:hAnsiTheme="minorHAnsi" w:cstheme="minorBidi"/>
          <w:i/>
        </w:rPr>
      </w:pPr>
    </w:p>
    <w:p w:rsidR="00E0751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p>
    <w:p w:rsidR="00E0751D" w:rsidRPr="00E0751D" w:rsidP="00E0751D">
      <w:pPr>
        <w:spacing w:after="0" w:line="240" w:lineRule="auto"/>
        <w:rPr>
          <w:rFonts w:asciiTheme="minorHAnsi" w:eastAsiaTheme="minorHAnsi" w:hAnsiTheme="minorHAnsi" w:cstheme="minorBidi"/>
          <w:b/>
        </w:rPr>
      </w:pPr>
      <w:r w:rsidRPr="00E0751D">
        <w:rPr>
          <w:rFonts w:asciiTheme="minorHAnsi" w:eastAsiaTheme="minorHAnsi" w:hAnsiTheme="minorHAnsi" w:cstheme="minorBidi"/>
          <w:b/>
        </w:rPr>
        <w:t>2. Aumento o creación de nuevo Gasto</w:t>
      </w:r>
    </w:p>
    <w:p w:rsidR="00E0751D" w:rsidP="00E0751D">
      <w:pPr>
        <w:spacing w:after="0" w:line="240" w:lineRule="auto"/>
        <w:rPr>
          <w:rFonts w:asciiTheme="minorHAnsi" w:eastAsiaTheme="minorHAnsi" w:hAnsiTheme="minorHAnsi" w:cstheme="minorBidi"/>
        </w:rPr>
      </w:pPr>
      <w:r>
        <w:rPr>
          <w:rFonts w:asciiTheme="minorHAnsi" w:eastAsiaTheme="minorHAnsi" w:hAnsiTheme="minorHAnsi" w:cstheme="minorBidi"/>
        </w:rPr>
        <w:t>Se informará:</w:t>
      </w:r>
    </w:p>
    <w:p w:rsidR="00E0751D" w:rsidP="0012031E">
      <w:pPr>
        <w:spacing w:after="0" w:line="240" w:lineRule="auto"/>
        <w:jc w:val="both"/>
        <w:rPr>
          <w:rFonts w:asciiTheme="minorHAnsi" w:eastAsiaTheme="minorHAnsi" w:hAnsiTheme="minorHAnsi" w:cstheme="minorBidi"/>
        </w:rPr>
      </w:pPr>
      <w:r>
        <w:rPr>
          <w:rFonts w:asciiTheme="minorHAnsi" w:eastAsiaTheme="minorHAnsi" w:hAnsiTheme="minorHAnsi" w:cstheme="minorBidi"/>
        </w:rPr>
        <w:t>a) Fuente de Ingresos del aumento o creación del Gasto no Etiquetado</w:t>
      </w:r>
      <w:r w:rsidR="0012031E">
        <w:rPr>
          <w:rFonts w:asciiTheme="minorHAnsi" w:eastAsiaTheme="minorHAnsi" w:hAnsiTheme="minorHAnsi" w:cstheme="minorBidi"/>
        </w:rPr>
        <w:t>.</w:t>
      </w:r>
    </w:p>
    <w:p w:rsidR="00144F2F" w:rsidP="0012031E">
      <w:pPr>
        <w:spacing w:after="0" w:line="240" w:lineRule="auto"/>
        <w:jc w:val="both"/>
        <w:rPr>
          <w:rFonts w:asciiTheme="minorHAnsi" w:eastAsiaTheme="minorHAnsi" w:hAnsiTheme="minorHAnsi" w:cstheme="minorBidi"/>
        </w:rPr>
      </w:pPr>
      <w:r>
        <w:rPr>
          <w:rFonts w:asciiTheme="minorHAnsi" w:eastAsiaTheme="minorHAnsi" w:hAnsiTheme="minorHAnsi" w:cstheme="minorBidi"/>
        </w:rPr>
        <w:t>Remanente recurso propio $7'138,538.28</w:t>
      </w:r>
    </w:p>
    <w:p w:rsidR="00E0751D" w:rsidP="0012031E">
      <w:pPr>
        <w:spacing w:after="0" w:line="240" w:lineRule="auto"/>
        <w:jc w:val="both"/>
        <w:rPr>
          <w:rFonts w:asciiTheme="minorHAnsi" w:eastAsiaTheme="minorHAnsi" w:hAnsiTheme="minorHAnsi" w:cstheme="minorBidi"/>
        </w:rPr>
      </w:pPr>
      <w:r>
        <w:rPr>
          <w:rFonts w:asciiTheme="minorHAnsi" w:eastAsiaTheme="minorHAnsi" w:hAnsiTheme="minorHAnsi" w:cstheme="minorBidi"/>
        </w:rPr>
        <w:t>b) Fuente de Ingresos del aumento o creación del Gasto Etiquetado</w:t>
      </w:r>
      <w:r w:rsidR="0012031E">
        <w:rPr>
          <w:rFonts w:asciiTheme="minorHAnsi" w:eastAsiaTheme="minorHAnsi" w:hAnsiTheme="minorHAnsi" w:cstheme="minorBidi"/>
        </w:rPr>
        <w:t>.</w:t>
      </w:r>
    </w:p>
    <w:p w:rsidR="00E0751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w:t>
      </w:r>
      <w:r>
        <w:rPr>
          <w:rFonts w:asciiTheme="minorHAnsi" w:eastAsiaTheme="minorHAnsi" w:hAnsiTheme="minorHAnsi" w:cstheme="minorBidi"/>
          <w:i/>
        </w:rPr>
        <w:t>8</w:t>
      </w:r>
      <w:r w:rsidRPr="00AF5CAD">
        <w:rPr>
          <w:rFonts w:asciiTheme="minorHAnsi" w:eastAsiaTheme="minorHAnsi" w:hAnsiTheme="minorHAnsi" w:cstheme="minorBidi"/>
          <w:i/>
        </w:rPr>
        <w:t xml:space="preserve"> y </w:t>
      </w:r>
      <w:r>
        <w:rPr>
          <w:rFonts w:asciiTheme="minorHAnsi" w:eastAsiaTheme="minorHAnsi" w:hAnsiTheme="minorHAnsi" w:cstheme="minorBidi"/>
          <w:i/>
        </w:rPr>
        <w:t>2</w:t>
      </w:r>
      <w:r w:rsidRPr="00AF5CAD">
        <w:rPr>
          <w:rFonts w:asciiTheme="minorHAnsi" w:eastAsiaTheme="minorHAnsi" w:hAnsiTheme="minorHAnsi" w:cstheme="minorBidi"/>
          <w:i/>
        </w:rPr>
        <w:t>1</w:t>
      </w:r>
      <w:r>
        <w:rPr>
          <w:rFonts w:asciiTheme="minorHAnsi" w:eastAsiaTheme="minorHAnsi" w:hAnsiTheme="minorHAnsi" w:cstheme="minorBidi"/>
          <w:i/>
        </w:rPr>
        <w:t xml:space="preserve"> LDF</w:t>
      </w:r>
    </w:p>
    <w:p w:rsidR="00E0751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p>
    <w:p w:rsidR="00E0751D" w:rsidRPr="00E0751D" w:rsidP="00E0751D">
      <w:pPr>
        <w:spacing w:after="0" w:line="240" w:lineRule="auto"/>
        <w:rPr>
          <w:rFonts w:asciiTheme="minorHAnsi" w:eastAsiaTheme="minorHAnsi" w:hAnsiTheme="minorHAnsi" w:cstheme="minorBidi"/>
          <w:b/>
        </w:rPr>
      </w:pPr>
      <w:r w:rsidRPr="00E0751D">
        <w:rPr>
          <w:rFonts w:asciiTheme="minorHAnsi" w:eastAsiaTheme="minorHAnsi" w:hAnsiTheme="minorHAnsi" w:cstheme="minorBidi"/>
          <w:b/>
        </w:rPr>
        <w:t>3. Pasivo Circulante al Cierre del Ejercicio</w:t>
      </w:r>
      <w:r w:rsidR="00D217E5">
        <w:rPr>
          <w:rFonts w:asciiTheme="minorHAnsi" w:eastAsiaTheme="minorHAnsi" w:hAnsiTheme="minorHAnsi" w:cstheme="minorBidi"/>
          <w:b/>
        </w:rPr>
        <w:t xml:space="preserve"> (ESF-12)</w:t>
      </w:r>
    </w:p>
    <w:p w:rsidR="00E0751D" w:rsidP="00E0751D">
      <w:pPr>
        <w:spacing w:after="0" w:line="240" w:lineRule="auto"/>
        <w:rPr>
          <w:rFonts w:asciiTheme="minorHAnsi" w:eastAsiaTheme="minorHAnsi" w:hAnsiTheme="minorHAnsi" w:cstheme="minorBidi"/>
        </w:rPr>
      </w:pPr>
      <w:r>
        <w:rPr>
          <w:rFonts w:asciiTheme="minorHAnsi" w:eastAsiaTheme="minorHAnsi" w:hAnsiTheme="minorHAnsi" w:cstheme="minorBidi"/>
        </w:rPr>
        <w:t>Se informará solo al 31 de diciembre</w:t>
      </w:r>
    </w:p>
    <w:p w:rsidR="00E0751D" w:rsidP="00E0751D">
      <w:pPr>
        <w:spacing w:after="0" w:line="240" w:lineRule="auto"/>
        <w:rPr>
          <w:rFonts w:asciiTheme="minorHAnsi" w:eastAsiaTheme="minorHAnsi" w:hAnsiTheme="minorHAnsi" w:cstheme="minorBidi"/>
        </w:rPr>
      </w:pPr>
    </w:p>
    <w:tbl>
      <w:tblPr>
        <w:tblStyle w:val="TableNormal"/>
        <w:tblW w:w="5000" w:type="pct"/>
        <w:tblCellMar>
          <w:left w:w="70" w:type="dxa"/>
          <w:right w:w="70" w:type="dxa"/>
        </w:tblCellMar>
        <w:tblLook w:val="04A0"/>
      </w:tblPr>
      <w:tblGrid>
        <w:gridCol w:w="717"/>
        <w:gridCol w:w="4033"/>
        <w:gridCol w:w="1727"/>
        <w:gridCol w:w="1439"/>
        <w:gridCol w:w="1628"/>
      </w:tblGrid>
      <w:tr w:rsidTr="00E0751D">
        <w:tblPrEx>
          <w:tblW w:w="5000" w:type="pct"/>
          <w:tblCellMar>
            <w:left w:w="70" w:type="dxa"/>
            <w:right w:w="70" w:type="dxa"/>
          </w:tblCellMar>
          <w:tblLook w:val="04A0"/>
        </w:tblPrEx>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INSTITUTO MUNICIPAL DE VIVIENDA DE IRAPUATO GUANAJUATO</w:t>
            </w:r>
          </w:p>
        </w:tc>
      </w:tr>
      <w:tr w:rsidTr="00E0751D">
        <w:tblPrEx>
          <w:tblW w:w="5000" w:type="pct"/>
          <w:tblCellMar>
            <w:left w:w="70" w:type="dxa"/>
            <w:right w:w="70" w:type="dxa"/>
          </w:tblCellMar>
          <w:tblLook w:val="04A0"/>
        </w:tblPrEx>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Informe de cuentas por pagar y que integran el pasivo circulante al cierre del ejercicio</w:t>
            </w:r>
          </w:p>
        </w:tc>
      </w:tr>
      <w:tr w:rsidTr="00E0751D">
        <w:tblPrEx>
          <w:tblW w:w="5000" w:type="pct"/>
          <w:tblCellMar>
            <w:left w:w="70" w:type="dxa"/>
            <w:right w:w="70" w:type="dxa"/>
          </w:tblCellMar>
          <w:tblLook w:val="04A0"/>
        </w:tblPrEx>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P="0082496A">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Ejercicio 20</w:t>
            </w:r>
            <w:r w:rsidR="0082496A">
              <w:rPr>
                <w:rFonts w:eastAsia="Times New Roman" w:asciiTheme="minorHAnsi" w:hAnsiTheme="minorHAnsi" w:cstheme="minorHAnsi"/>
                <w:color w:val="000000"/>
                <w:sz w:val="18"/>
                <w:szCs w:val="18"/>
                <w:lang w:eastAsia="es-MX"/>
              </w:rPr>
              <w:t>20</w:t>
            </w:r>
          </w:p>
        </w:tc>
      </w:tr>
      <w:tr w:rsidTr="00E0751D">
        <w:tblPrEx>
          <w:tblW w:w="5000" w:type="pct"/>
          <w:tblCellMar>
            <w:left w:w="70" w:type="dxa"/>
            <w:right w:w="70" w:type="dxa"/>
          </w:tblCellMar>
          <w:tblLook w:val="04A0"/>
        </w:tblPrEx>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Devengado</w:t>
            </w:r>
            <w:r w:rsidRPr="00E0751D">
              <w:rPr>
                <w:rFonts w:eastAsia="Times New Roman" w:asciiTheme="minorHAnsi" w:hAnsiTheme="minorHAnsi"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Pagado</w:t>
            </w:r>
            <w:r w:rsidRPr="00E0751D">
              <w:rPr>
                <w:rFonts w:eastAsia="Times New Roman" w:asciiTheme="minorHAnsi" w:hAnsiTheme="minorHAnsi"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Cuentas por pagar</w:t>
            </w:r>
            <w:r w:rsidRPr="00E0751D">
              <w:rPr>
                <w:rFonts w:eastAsia="Times New Roman" w:asciiTheme="minorHAnsi" w:hAnsiTheme="minorHAnsi" w:cstheme="minorHAnsi"/>
                <w:b/>
                <w:bCs/>
                <w:color w:val="000000"/>
                <w:sz w:val="18"/>
                <w:szCs w:val="18"/>
                <w:lang w:eastAsia="es-MX"/>
              </w:rPr>
              <w:br/>
              <w:t>(c) = (a-b)</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6317689.1</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6317689.1</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146160.68</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146160.68</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661343.01</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661343.01</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p>
        </w:tc>
      </w:tr>
      <w:tr w:rsidTr="00E0751D">
        <w:tblPrEx>
          <w:tblW w:w="5000" w:type="pct"/>
          <w:tblCellMar>
            <w:left w:w="70" w:type="dxa"/>
            <w:right w:w="70" w:type="dxa"/>
          </w:tblCellMar>
          <w:tblLook w:val="04A0"/>
        </w:tblPrEx>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25643.1</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25643.1</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2686085.81</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2686085.81</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Pr>
                <w:rFonts w:eastAsia="Times New Roman" w:asciiTheme="minorHAnsi" w:hAnsiTheme="minorHAnsi" w:cstheme="minorHAnsi"/>
                <w:b/>
                <w:bCs/>
                <w:color w:val="000000"/>
                <w:sz w:val="18"/>
                <w:szCs w:val="18"/>
                <w:lang w:eastAsia="es-MX"/>
              </w:rPr>
              <w:t>9836921.81</w:t>
            </w:r>
          </w:p>
        </w:tc>
        <w:tc>
          <w:tcPr>
            <w:tcW w:w="754" w:type="pct"/>
            <w:tcBorders>
              <w:top w:val="single" w:sz="4" w:space="0" w:color="auto"/>
              <w:left w:val="nil"/>
              <w:bottom w:val="single" w:sz="4" w:space="0" w:color="auto"/>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Pr>
                <w:rFonts w:eastAsia="Times New Roman" w:asciiTheme="minorHAnsi" w:hAnsiTheme="minorHAnsi" w:cstheme="minorHAnsi"/>
                <w:b/>
                <w:bCs/>
                <w:color w:val="000000"/>
                <w:sz w:val="18"/>
                <w:szCs w:val="18"/>
                <w:lang w:eastAsia="es-MX"/>
              </w:rPr>
              <w:t>9836921.81</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r>
    </w:tbl>
    <w:p w:rsidR="00E0751D" w:rsidP="00E0751D">
      <w:pPr>
        <w:spacing w:after="0" w:line="240" w:lineRule="auto"/>
        <w:rPr>
          <w:rFonts w:asciiTheme="minorHAnsi" w:eastAsiaTheme="minorHAnsi" w:hAnsiTheme="minorHAnsi" w:cstheme="minorBidi"/>
        </w:rPr>
      </w:pPr>
    </w:p>
    <w:p w:rsidR="00E0751D" w:rsidP="00E0751D">
      <w:pPr>
        <w:spacing w:after="0" w:line="240" w:lineRule="auto"/>
        <w:rPr>
          <w:rFonts w:asciiTheme="minorHAnsi" w:eastAsiaTheme="minorHAnsi" w:hAnsiTheme="minorHAnsi" w:cstheme="minorBid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w:t>
      </w:r>
      <w:r>
        <w:rPr>
          <w:rFonts w:asciiTheme="minorHAnsi" w:eastAsiaTheme="minorHAnsi" w:hAnsiTheme="minorHAnsi" w:cstheme="minorBidi"/>
          <w:i/>
        </w:rPr>
        <w:t>13 VII</w:t>
      </w:r>
      <w:r w:rsidRPr="00AF5CAD">
        <w:rPr>
          <w:rFonts w:asciiTheme="minorHAnsi" w:eastAsiaTheme="minorHAnsi" w:hAnsiTheme="minorHAnsi" w:cstheme="minorBidi"/>
          <w:i/>
        </w:rPr>
        <w:t xml:space="preserve"> y </w:t>
      </w:r>
      <w:r>
        <w:rPr>
          <w:rFonts w:asciiTheme="minorHAnsi" w:eastAsiaTheme="minorHAnsi" w:hAnsiTheme="minorHAnsi" w:cstheme="minorBidi"/>
          <w:i/>
        </w:rPr>
        <w:t>2</w:t>
      </w:r>
      <w:r w:rsidRPr="00AF5CAD">
        <w:rPr>
          <w:rFonts w:asciiTheme="minorHAnsi" w:eastAsiaTheme="minorHAnsi" w:hAnsiTheme="minorHAnsi" w:cstheme="minorBidi"/>
          <w:i/>
        </w:rPr>
        <w:t>1</w:t>
      </w:r>
      <w:r>
        <w:rPr>
          <w:rFonts w:asciiTheme="minorHAnsi" w:eastAsiaTheme="minorHAnsi" w:hAnsiTheme="minorHAnsi" w:cstheme="minorBidi"/>
          <w:i/>
        </w:rPr>
        <w:t xml:space="preserve"> LDF</w:t>
      </w:r>
    </w:p>
    <w:p w:rsidR="00AF5CA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p>
    <w:p w:rsidR="00E0751D" w:rsidRPr="00E0751D" w:rsidP="00E0751D">
      <w:pPr>
        <w:spacing w:after="0" w:line="240" w:lineRule="auto"/>
        <w:rPr>
          <w:rFonts w:asciiTheme="minorHAnsi" w:eastAsiaTheme="minorHAnsi" w:hAnsiTheme="minorHAnsi" w:cstheme="minorBidi"/>
          <w:b/>
        </w:rPr>
      </w:pPr>
      <w:r w:rsidRPr="00E0751D">
        <w:rPr>
          <w:rFonts w:asciiTheme="minorHAnsi" w:eastAsiaTheme="minorHAnsi" w:hAnsiTheme="minorHAnsi" w:cstheme="minorBidi"/>
          <w:b/>
        </w:rPr>
        <w:t>4. Deuda Pública y Obligaciones</w:t>
      </w:r>
    </w:p>
    <w:p w:rsidR="00E0751D" w:rsidP="00E0751D">
      <w:pPr>
        <w:spacing w:after="0" w:line="240" w:lineRule="auto"/>
        <w:rPr>
          <w:rFonts w:asciiTheme="minorHAnsi" w:eastAsiaTheme="minorHAnsi" w:hAnsiTheme="minorHAnsi" w:cstheme="minorBidi"/>
        </w:rPr>
      </w:pPr>
      <w:r w:rsidRPr="00E0751D">
        <w:rPr>
          <w:rFonts w:asciiTheme="minorHAnsi" w:eastAsiaTheme="minorHAnsi" w:hAnsiTheme="minorHAnsi" w:cstheme="minorBidi"/>
        </w:rPr>
        <w:t>Se revelará</w:t>
      </w:r>
      <w:r>
        <w:rPr>
          <w:rFonts w:asciiTheme="minorHAnsi" w:eastAsiaTheme="minorHAnsi" w:hAnsiTheme="minorHAnsi" w:cstheme="minorBidi"/>
        </w:rPr>
        <w:t>:</w:t>
      </w:r>
    </w:p>
    <w:p w:rsidR="00E0751D" w:rsidP="00E0751D">
      <w:pPr>
        <w:spacing w:after="0" w:line="240" w:lineRule="auto"/>
        <w:jc w:val="both"/>
        <w:rPr>
          <w:rFonts w:asciiTheme="minorHAnsi" w:eastAsiaTheme="minorHAnsi" w:hAnsiTheme="minorHAnsi" w:cstheme="minorBidi"/>
        </w:rPr>
      </w:pPr>
      <w:r w:rsidRPr="00E0751D">
        <w:rPr>
          <w:rFonts w:asciiTheme="minorHAnsi" w:eastAsiaTheme="minorHAnsi" w:hAnsiTheme="minorHAnsi" w:cstheme="minorBidi"/>
        </w:rPr>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P="00E0751D">
      <w:pPr>
        <w:spacing w:after="0" w:line="240" w:lineRule="auto"/>
        <w:jc w:val="both"/>
        <w:rPr>
          <w:rFonts w:asciiTheme="minorHAnsi" w:eastAsiaTheme="minorHAnsi" w:hAnsiTheme="minorHAnsi" w:cstheme="minorBidi"/>
        </w:rPr>
      </w:pPr>
    </w:p>
    <w:p w:rsidR="00AF5CAD" w:rsidP="00E0751D">
      <w:pPr>
        <w:spacing w:after="0" w:line="240" w:lineRule="auto"/>
        <w:jc w:val="both"/>
        <w:rPr>
          <w:rFonts w:asciiTheme="minorHAnsi" w:eastAsiaTheme="minorHAnsi" w:hAnsiTheme="minorHAnsi" w:cstheme="minorBidi"/>
          <w: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w:t>
      </w:r>
      <w:r>
        <w:rPr>
          <w:rFonts w:asciiTheme="minorHAnsi" w:eastAsiaTheme="minorHAnsi" w:hAnsiTheme="minorHAnsi" w:cstheme="minorBidi"/>
          <w:i/>
        </w:rPr>
        <w:t>25 LDF</w:t>
      </w:r>
    </w:p>
    <w:p w:rsidR="00AF5CAD" w:rsidP="00E0751D">
      <w:pPr>
        <w:spacing w:after="0" w:line="240" w:lineRule="auto"/>
        <w:jc w:val="both"/>
        <w:rPr>
          <w:rFonts w:asciiTheme="minorHAnsi" w:eastAsiaTheme="minorHAnsi" w:hAnsiTheme="minorHAnsi" w:cstheme="minorBidi"/>
        </w:rPr>
      </w:pPr>
    </w:p>
    <w:p w:rsidR="00AF5CAD" w:rsidP="00E0751D">
      <w:pPr>
        <w:spacing w:after="0" w:line="240" w:lineRule="auto"/>
        <w:jc w:val="both"/>
        <w:rPr>
          <w:rFonts w:asciiTheme="minorHAnsi" w:eastAsiaTheme="minorHAnsi" w:hAnsiTheme="minorHAnsi" w:cstheme="minorBidi"/>
        </w:rPr>
      </w:pPr>
      <w:r>
        <w:rPr>
          <w:rFonts w:asciiTheme="minorHAnsi" w:eastAsiaTheme="minorHAnsi" w:hAnsiTheme="minorHAnsi" w:cstheme="minorBidi"/>
        </w:rPr>
        <w:t>No hay deuda publica</w:t>
      </w:r>
    </w:p>
    <w:p w:rsidR="00E0751D" w:rsidP="00E0751D">
      <w:pPr>
        <w:spacing w:after="0" w:line="240" w:lineRule="auto"/>
        <w:jc w:val="both"/>
        <w:rPr>
          <w:rFonts w:asciiTheme="minorHAnsi" w:eastAsiaTheme="minorHAnsi" w:hAnsiTheme="minorHAnsi" w:cstheme="minorBidi"/>
        </w:rPr>
      </w:pPr>
    </w:p>
    <w:p w:rsidR="00E0751D" w:rsidRPr="0012031E" w:rsidP="00E0751D">
      <w:pPr>
        <w:spacing w:after="0" w:line="240" w:lineRule="auto"/>
        <w:jc w:val="both"/>
        <w:rPr>
          <w:rFonts w:asciiTheme="minorHAnsi" w:eastAsiaTheme="minorHAnsi" w:hAnsiTheme="minorHAnsi" w:cstheme="minorBidi"/>
          <w:b/>
        </w:rPr>
      </w:pPr>
      <w:r w:rsidRPr="0012031E">
        <w:rPr>
          <w:rFonts w:asciiTheme="minorHAnsi" w:eastAsiaTheme="minorHAnsi" w:hAnsiTheme="minorHAnsi" w:cstheme="minorBidi"/>
          <w:b/>
        </w:rPr>
        <w:t>5. Obligaciones a Corto Plazo</w:t>
      </w:r>
    </w:p>
    <w:p w:rsidR="00E0751D" w:rsidP="00E0751D">
      <w:pPr>
        <w:spacing w:after="0" w:line="240" w:lineRule="auto"/>
        <w:jc w:val="both"/>
        <w:rPr>
          <w:rFonts w:asciiTheme="minorHAnsi" w:eastAsiaTheme="minorHAnsi" w:hAnsiTheme="minorHAnsi" w:cstheme="minorBidi"/>
        </w:rPr>
      </w:pPr>
      <w:r w:rsidRPr="00E0751D">
        <w:rPr>
          <w:rFonts w:asciiTheme="minorHAnsi" w:eastAsiaTheme="minorHAnsi" w:hAnsiTheme="minorHAnsi" w:cstheme="minorBidi"/>
        </w:rPr>
        <w:t>Se revelará</w:t>
      </w:r>
      <w:r>
        <w:rPr>
          <w:rFonts w:asciiTheme="minorHAnsi" w:eastAsiaTheme="minorHAnsi" w:hAnsiTheme="minorHAnsi" w:cstheme="minorBidi"/>
        </w:rPr>
        <w:t>:</w:t>
      </w:r>
    </w:p>
    <w:p w:rsidR="00E0751D" w:rsidP="00E0751D">
      <w:pPr>
        <w:spacing w:after="0" w:line="240" w:lineRule="auto"/>
        <w:jc w:val="both"/>
        <w:rPr>
          <w:rFonts w:asciiTheme="minorHAnsi" w:eastAsiaTheme="minorHAnsi" w:hAnsiTheme="minorHAnsi" w:cstheme="minorBidi"/>
        </w:rPr>
      </w:pPr>
      <w:r w:rsidRPr="00E0751D">
        <w:rPr>
          <w:rFonts w:asciiTheme="minorHAnsi" w:eastAsiaTheme="minorHAnsi" w:hAnsiTheme="minorHAnsi" w:cstheme="minorBidi"/>
        </w:rPr>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2C4259" w:rsidP="00E0751D">
      <w:pPr>
        <w:spacing w:after="0" w:line="240" w:lineRule="auto"/>
        <w:jc w:val="both"/>
        <w:rPr>
          <w:rFonts w:asciiTheme="minorHAnsi" w:eastAsiaTheme="minorHAnsi" w:hAnsiTheme="minorHAnsi" w:cstheme="minorBidi"/>
        </w:rPr>
      </w:pPr>
      <w:r>
        <w:rPr>
          <w:rFonts w:asciiTheme="minorHAnsi" w:eastAsiaTheme="minorHAnsi" w:hAnsiTheme="minorHAnsi" w:cstheme="minorBidi"/>
        </w:rPr>
        <w:t>Sin información que declarar</w:t>
      </w:r>
    </w:p>
    <w:p w:rsidR="0012031E" w:rsidP="00E0751D">
      <w:pPr>
        <w:spacing w:after="0" w:line="240" w:lineRule="auto"/>
        <w:jc w:val="both"/>
        <w:rPr>
          <w:rFonts w:asciiTheme="minorHAnsi" w:eastAsiaTheme="minorHAnsi" w:hAnsiTheme="minorHAnsi" w:cstheme="minorBidi"/>
        </w:rPr>
      </w:pPr>
    </w:p>
    <w:p w:rsidR="0012031E" w:rsidP="00E0751D">
      <w:pPr>
        <w:spacing w:after="0" w:line="240" w:lineRule="auto"/>
        <w:jc w:val="both"/>
        <w:rPr>
          <w:rFonts w:asciiTheme="minorHAnsi" w:eastAsiaTheme="minorHAnsi" w:hAnsiTheme="minorHAnsi" w:cstheme="minorBid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w:t>
      </w:r>
      <w:r>
        <w:rPr>
          <w:rFonts w:asciiTheme="minorHAnsi" w:eastAsiaTheme="minorHAnsi" w:hAnsiTheme="minorHAnsi" w:cstheme="minorBidi"/>
          <w:i/>
        </w:rPr>
        <w:t>31 LDF</w:t>
      </w:r>
    </w:p>
    <w:p w:rsidR="00AF5CAD" w:rsidP="00E0751D">
      <w:pPr>
        <w:spacing w:after="0" w:line="240" w:lineRule="auto"/>
        <w:jc w:val="both"/>
        <w:rPr>
          <w:rFonts w:asciiTheme="minorHAnsi" w:eastAsiaTheme="minorHAnsi" w:hAnsiTheme="minorHAnsi" w:cstheme="minorBidi"/>
        </w:rPr>
      </w:pPr>
    </w:p>
    <w:p w:rsidR="00AF5CAD" w:rsidP="00E0751D">
      <w:pPr>
        <w:spacing w:after="0" w:line="240" w:lineRule="auto"/>
        <w:jc w:val="both"/>
        <w:rPr>
          <w:rFonts w:asciiTheme="minorHAnsi" w:eastAsiaTheme="minorHAnsi" w:hAnsiTheme="minorHAnsi" w:cstheme="minorBidi"/>
        </w:rPr>
      </w:pPr>
    </w:p>
    <w:p w:rsidR="00AF5CAD" w:rsidP="00E0751D">
      <w:pPr>
        <w:spacing w:after="0" w:line="240" w:lineRule="auto"/>
        <w:jc w:val="both"/>
        <w:rPr>
          <w:rFonts w:asciiTheme="minorHAnsi" w:eastAsiaTheme="minorHAnsi" w:hAnsiTheme="minorHAnsi" w:cstheme="minorBidi"/>
        </w:rPr>
      </w:pPr>
    </w:p>
    <w:p w:rsidR="00E0751D" w:rsidRPr="0012031E" w:rsidP="0012031E">
      <w:pPr>
        <w:spacing w:after="0" w:line="240" w:lineRule="auto"/>
        <w:rPr>
          <w:rFonts w:asciiTheme="minorHAnsi" w:eastAsiaTheme="minorHAnsi" w:hAnsiTheme="minorHAnsi" w:cstheme="minorBidi"/>
          <w:b/>
        </w:rPr>
      </w:pPr>
      <w:r w:rsidRPr="0012031E">
        <w:rPr>
          <w:rFonts w:asciiTheme="minorHAnsi" w:eastAsiaTheme="minorHAnsi" w:hAnsiTheme="minorHAnsi" w:cstheme="minorBidi"/>
          <w:b/>
        </w:rPr>
        <w:t>6. Evaluación de Cumplimiento</w:t>
      </w:r>
    </w:p>
    <w:p w:rsidR="0012031E" w:rsidP="0012031E">
      <w:pPr>
        <w:spacing w:after="0" w:line="240" w:lineRule="auto"/>
        <w:jc w:val="both"/>
        <w:rPr>
          <w:rFonts w:asciiTheme="minorHAnsi" w:eastAsiaTheme="minorHAnsi" w:hAnsiTheme="minorHAnsi" w:cstheme="minorBidi"/>
        </w:rPr>
      </w:pPr>
      <w:r w:rsidRPr="00E0751D">
        <w:rPr>
          <w:rFonts w:asciiTheme="minorHAnsi" w:eastAsiaTheme="minorHAnsi" w:hAnsiTheme="minorHAnsi" w:cstheme="minorBidi"/>
        </w:rPr>
        <w:t>Se revelará</w:t>
      </w:r>
      <w:r>
        <w:rPr>
          <w:rFonts w:asciiTheme="minorHAnsi" w:eastAsiaTheme="minorHAnsi" w:hAnsiTheme="minorHAnsi" w:cstheme="minorBidi"/>
        </w:rPr>
        <w:t>:</w:t>
      </w:r>
    </w:p>
    <w:p w:rsidR="0012031E" w:rsidP="0012031E">
      <w:pPr>
        <w:spacing w:after="0" w:line="240" w:lineRule="auto"/>
        <w:rPr>
          <w:rFonts w:asciiTheme="minorHAnsi" w:eastAsiaTheme="minorHAnsi" w:hAnsiTheme="minorHAnsi" w:cstheme="minorBidi"/>
        </w:rPr>
      </w:pPr>
      <w:r w:rsidRPr="0012031E">
        <w:rPr>
          <w:rFonts w:asciiTheme="minorHAnsi" w:eastAsiaTheme="minorHAnsi" w:hAnsiTheme="minorHAnsi" w:cstheme="minorBidi"/>
        </w:rPr>
        <w:t>a) La información relativa al cumplimiento de los convenios de Deuda Garantizada.</w:t>
      </w:r>
    </w:p>
    <w:p w:rsidR="00AF5CAD" w:rsidP="0012031E">
      <w:pPr>
        <w:spacing w:after="0" w:line="240" w:lineRule="auto"/>
        <w:rPr>
          <w:rFonts w:asciiTheme="minorHAnsi" w:eastAsiaTheme="minorHAnsi" w:hAnsiTheme="minorHAnsi" w:cstheme="minorBidi"/>
        </w:rPr>
      </w:pPr>
    </w:p>
    <w:p w:rsidR="00AF5CAD" w:rsidP="0012031E">
      <w:pPr>
        <w:spacing w:after="0" w:line="240" w:lineRule="auto"/>
        <w:rPr>
          <w:rFonts w:asciiTheme="minorHAnsi" w:eastAsiaTheme="minorHAnsi" w:hAnsiTheme="minorHAnsi" w:cstheme="minorBidi"/>
          <w: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w:t>
      </w:r>
      <w:r>
        <w:rPr>
          <w:rFonts w:asciiTheme="minorHAnsi" w:eastAsiaTheme="minorHAnsi" w:hAnsiTheme="minorHAnsi" w:cstheme="minorBidi"/>
          <w:i/>
        </w:rPr>
        <w:t>40 LDF</w:t>
      </w:r>
    </w:p>
    <w:p w:rsidR="00AF5CAD" w:rsidP="0012031E">
      <w:pPr>
        <w:spacing w:after="0" w:line="240" w:lineRule="auto"/>
        <w:rPr>
          <w:rFonts w:asciiTheme="minorHAnsi" w:eastAsiaTheme="minorHAnsi" w:hAnsiTheme="minorHAnsi" w:cstheme="minorBidi"/>
          <w:i/>
        </w:rPr>
      </w:pPr>
    </w:p>
    <w:p w:rsidR="002C4259" w:rsidP="002C4259">
      <w:pPr>
        <w:spacing w:after="0" w:line="240" w:lineRule="auto"/>
        <w:jc w:val="both"/>
        <w:rPr>
          <w:rFonts w:asciiTheme="minorHAnsi" w:eastAsiaTheme="minorHAnsi" w:hAnsiTheme="minorHAnsi" w:cstheme="minorBidi"/>
        </w:rPr>
      </w:pPr>
      <w:r>
        <w:rPr>
          <w:rFonts w:asciiTheme="minorHAnsi" w:eastAsiaTheme="minorHAnsi" w:hAnsiTheme="minorHAnsi" w:cstheme="minorBidi"/>
        </w:rPr>
        <w:t>Sin información que declarar</w:t>
      </w:r>
    </w:p>
    <w:p w:rsidR="002C4259" w:rsidP="0012031E">
      <w:pPr>
        <w:spacing w:after="0" w:line="240" w:lineRule="auto"/>
        <w:rPr>
          <w:rFonts w:asciiTheme="minorHAnsi" w:eastAsiaTheme="minorHAnsi" w:hAnsiTheme="minorHAnsi" w:cstheme="minorBidi"/>
          <w:i/>
        </w:rPr>
      </w:pPr>
    </w:p>
    <w:p w:rsidR="00AF5CAD" w:rsidRPr="00AF5CAD" w:rsidP="0012031E">
      <w:pPr>
        <w:spacing w:after="0" w:line="240" w:lineRule="auto"/>
        <w:rPr>
          <w:rFonts w:asciiTheme="minorHAnsi" w:eastAsiaTheme="minorHAnsi" w:hAnsiTheme="minorHAnsi" w:cstheme="minorBidi"/>
          <w:i/>
        </w:rPr>
        <w:sectPr w:rsidSect="00E0751D">
          <w:headerReference w:type="default" r:id="rId12"/>
          <w:footerReference w:type="default" r:id="rId13"/>
          <w:pgSz w:w="12240" w:h="15840"/>
          <w:pgMar w:top="1418" w:right="1418" w:bottom="1418" w:left="1418" w:header="709" w:footer="709" w:gutter="0"/>
          <w:cols w:space="708"/>
          <w:docGrid w:linePitch="360"/>
        </w:sectPr>
      </w:pPr>
    </w:p>
    <w:p w:rsidR="00564EB9" w:rsidP="00564EB9">
      <w:pPr>
        <w:spacing w:after="0" w:line="240" w:lineRule="auto"/>
        <w:jc w:val="center"/>
        <w:rPr>
          <w:rFonts w:cs="Calibri"/>
          <w:b/>
          <w:sz w:val="28"/>
          <w:szCs w:val="28"/>
        </w:rPr>
      </w:pPr>
      <w:r w:rsidRPr="0044752F">
        <w:rPr>
          <w:rFonts w:cs="Calibri"/>
          <w:b/>
          <w:color w:val="2F5496"/>
          <w:sz w:val="28"/>
          <w:szCs w:val="28"/>
          <w:u w:val="single"/>
        </w:rPr>
        <w:t>RELACIÓN DE ESQUEMAS BURSÁTILES Y DE COBERTURAS FINANCIERAS</w:t>
      </w:r>
      <w:r w:rsidRPr="009D77DD">
        <w:rPr>
          <w:rFonts w:cs="Calibri"/>
          <w:b/>
          <w:sz w:val="28"/>
          <w:szCs w:val="28"/>
        </w:rPr>
        <w:t xml:space="preserve"> </w:t>
      </w:r>
    </w:p>
    <w:p w:rsidR="002C74A3" w:rsidP="00564EB9">
      <w:pPr>
        <w:spacing w:after="0" w:line="240" w:lineRule="auto"/>
        <w:jc w:val="center"/>
        <w:rPr>
          <w:rFonts w:cs="Calibri"/>
          <w:b/>
          <w:sz w:val="28"/>
          <w:szCs w:val="28"/>
        </w:rPr>
      </w:pPr>
    </w:p>
    <w:p w:rsidR="002C74A3" w:rsidP="00564EB9">
      <w:pPr>
        <w:spacing w:after="0" w:line="240" w:lineRule="auto"/>
        <w:jc w:val="center"/>
        <w:rPr>
          <w:rFonts w:cs="Calibri"/>
          <w:b/>
          <w:sz w:val="28"/>
          <w:szCs w:val="28"/>
        </w:rPr>
      </w:pPr>
      <w:r>
        <w:rPr>
          <w:rFonts w:cs="Calibri"/>
          <w:b/>
          <w:sz w:val="28"/>
          <w:szCs w:val="28"/>
        </w:rPr>
        <w:t>NO APLICA</w:t>
      </w:r>
    </w:p>
    <w:p w:rsidR="00D84D4E" w:rsidP="00564EB9">
      <w:pPr>
        <w:spacing w:after="0" w:line="240" w:lineRule="auto"/>
        <w:jc w:val="center"/>
        <w:rPr>
          <w:rFonts w:cs="Calibri"/>
          <w:b/>
          <w:sz w:val="28"/>
          <w:szCs w:val="28"/>
        </w:rPr>
      </w:pPr>
    </w:p>
    <w:p w:rsidR="00D84D4E" w:rsidP="00564EB9">
      <w:pPr>
        <w:spacing w:after="0" w:line="240" w:lineRule="auto"/>
        <w:jc w:val="center"/>
        <w:rPr>
          <w:rFonts w:cs="Calibri"/>
          <w:b/>
          <w:sz w:val="28"/>
          <w:szCs w:val="28"/>
        </w:rPr>
      </w:pPr>
      <w:r>
        <w:rPr>
          <w:rFonts w:cs="Calibri"/>
          <w:b/>
          <w:sz w:val="28"/>
          <w:szCs w:val="28"/>
        </w:rPr>
        <w:t>NO SE GENERO NADA DURANTE EL EJERCICIO 2020</w:t>
      </w:r>
    </w:p>
    <w:p w:rsidR="00D84D4E" w:rsidP="00564EB9">
      <w:pPr>
        <w:spacing w:after="0" w:line="240" w:lineRule="auto"/>
        <w:jc w:val="center"/>
        <w:rPr>
          <w:rFonts w:cs="Calibri"/>
          <w:b/>
          <w:sz w:val="28"/>
          <w:szCs w:val="28"/>
        </w:rPr>
      </w:pPr>
    </w:p>
    <w:p w:rsidR="002C74A3" w:rsidRPr="00E74967" w:rsidP="00564EB9">
      <w:pPr>
        <w:spacing w:after="0" w:line="240" w:lineRule="auto"/>
        <w:jc w:val="center"/>
        <w:rPr>
          <w:rFonts w:cs="Calibri"/>
          <w:b/>
          <w:sz w:val="28"/>
          <w:szCs w:val="28"/>
        </w:rPr>
      </w:pPr>
    </w:p>
    <w:p w:rsidR="00564EB9" w:rsidP="00564EB9">
      <w:pPr>
        <w:spacing w:after="0" w:line="240" w:lineRule="auto"/>
        <w:jc w:val="both"/>
        <w:rPr>
          <w:rFonts w:cs="Calibri"/>
        </w:rPr>
      </w:pPr>
    </w:p>
    <w:p w:rsidR="00564EB9" w:rsidP="00564EB9">
      <w:pPr>
        <w:spacing w:after="0" w:line="240" w:lineRule="auto"/>
        <w:jc w:val="both"/>
        <w:rPr>
          <w:rFonts w:cs="Calibri"/>
        </w:rPr>
      </w:pPr>
    </w:p>
    <w:p w:rsidR="00564EB9" w:rsidP="00564EB9">
      <w:pPr>
        <w:spacing w:after="0" w:line="240" w:lineRule="auto"/>
        <w:jc w:val="both"/>
        <w:rPr>
          <w:rFonts w:cs="Calibri"/>
        </w:rPr>
      </w:pPr>
    </w:p>
    <w:p w:rsidR="00564EB9" w:rsidP="00564EB9">
      <w:pPr>
        <w:spacing w:after="0" w:line="240" w:lineRule="auto"/>
        <w:jc w:val="both"/>
        <w:rPr>
          <w:rFonts w:cs="Calibri"/>
        </w:rPr>
      </w:pPr>
    </w:p>
    <w:p w:rsidR="00445B0C" w:rsidRPr="00564EB9" w:rsidP="00564EB9"/>
    <w:sectPr w:rsidSect="00657009">
      <w:pgSz w:w="12240" w:h="15840"/>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2264C3">
        <w:pPr>
          <w:pStyle w:val="Footer"/>
          <w:jc w:val="right"/>
        </w:pPr>
        <w:r>
          <w:fldChar w:fldCharType="begin"/>
        </w:r>
        <w:r>
          <w:instrText>PAGE   \* MERGEFORMAT</w:instrText>
        </w:r>
        <w:r>
          <w:fldChar w:fldCharType="separate"/>
        </w:r>
        <w:r w:rsidRPr="006349AC" w:rsidR="006349AC">
          <w:rPr>
            <w:noProof/>
            <w:lang w:val="es-ES"/>
          </w:rPr>
          <w:t>1</w:t>
        </w:r>
        <w:r w:rsidRPr="006349AC" w:rsidR="006349AC">
          <w:rPr>
            <w:noProof/>
            <w:lang w:val="es-ES"/>
          </w:rPr>
          <w:fldChar w:fldCharType="end"/>
        </w:r>
      </w:p>
    </w:sdtContent>
  </w:sdt>
  <w:p w:rsidR="00226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pPr>
          <w:pStyle w:val="Footer"/>
          <w:jc w:val="right"/>
        </w:pPr>
        <w:r>
          <w:fldChar w:fldCharType="begin"/>
        </w:r>
        <w:r>
          <w:instrText>PAGE   \* MERGEFORMAT</w:instrText>
        </w:r>
        <w:r>
          <w:fldChar w:fldCharType="separate"/>
        </w:r>
        <w:r w:rsidRPr="001865C8" w:rsidR="001865C8">
          <w:rPr>
            <w:noProof/>
            <w:lang w:val="es-ES"/>
          </w:rPr>
          <w:t>1</w:t>
        </w:r>
        <w:r>
          <w:fldChar w:fldCharType="end"/>
        </w:r>
      </w:p>
    </w:sdtContent>
  </w:sdt>
  <w:p w:rsidR="0012031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C3" w:rsidP="00A4610E">
    <w:pPr>
      <w:pStyle w:val="Header"/>
      <w:spacing w:after="0" w:line="240" w:lineRule="auto"/>
      <w:jc w:val="center"/>
    </w:pPr>
    <w:r>
      <w:t>INSTITUTO MUNICIPAL DE VIVIENDA DE IRAPUATO, GTO</w:t>
    </w:r>
  </w:p>
  <w:p w:rsidR="002264C3" w:rsidP="00A4610E">
    <w:pPr>
      <w:pStyle w:val="Header"/>
      <w:spacing w:after="0" w:line="240" w:lineRule="auto"/>
      <w:jc w:val="center"/>
    </w:pPr>
    <w:r w:rsidRPr="00A4610E">
      <w:t>CORRESPONDI</w:t>
    </w:r>
    <w:r>
      <w:t>E</w:t>
    </w:r>
    <w:r w:rsidRPr="00A4610E">
      <w:t xml:space="preserve">NTES AL </w:t>
    </w:r>
    <w:r w:rsidR="0041513F">
      <w:t>31 DE DIC</w:t>
    </w:r>
    <w:r w:rsidR="00092C38">
      <w:t xml:space="preserve">IEMBRE </w:t>
    </w:r>
    <w:r>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1E" w:rsidP="0012031E">
    <w:pPr>
      <w:pStyle w:val="Header"/>
      <w:jc w:val="center"/>
    </w:pPr>
    <w:r>
      <w:t>INSTITUTO MUNICIPAL DE VIVIENDA DE IRAPUATO GUANAJUATO</w:t>
    </w:r>
  </w:p>
  <w:p w:rsidR="0012031E" w:rsidP="0012031E">
    <w:pPr>
      <w:pStyle w:val="Header"/>
      <w:jc w:val="center"/>
    </w:pPr>
    <w:r w:rsidRPr="00A4610E">
      <w:t>CORRESPONDI</w:t>
    </w:r>
    <w:r w:rsidR="008756D3">
      <w:t>E</w:t>
    </w:r>
    <w:r w:rsidRPr="00A4610E">
      <w:t xml:space="preserve">NTES AL </w:t>
    </w:r>
    <w:r w:rsidR="0082496A">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compat/>
  <w:rsids>
    <w:rsidRoot w:val="007D1E76"/>
    <w:rsid w:val="00013099"/>
    <w:rsid w:val="00025EBB"/>
    <w:rsid w:val="00035B40"/>
    <w:rsid w:val="00040D4F"/>
    <w:rsid w:val="0005680A"/>
    <w:rsid w:val="00084EAE"/>
    <w:rsid w:val="00091CE6"/>
    <w:rsid w:val="00092C38"/>
    <w:rsid w:val="000A4DA0"/>
    <w:rsid w:val="000B7810"/>
    <w:rsid w:val="000C3365"/>
    <w:rsid w:val="000C4A81"/>
    <w:rsid w:val="00102FA4"/>
    <w:rsid w:val="00105F15"/>
    <w:rsid w:val="00106916"/>
    <w:rsid w:val="00107A0A"/>
    <w:rsid w:val="0012031E"/>
    <w:rsid w:val="0012405A"/>
    <w:rsid w:val="00144F2F"/>
    <w:rsid w:val="00154BA3"/>
    <w:rsid w:val="00176132"/>
    <w:rsid w:val="001836BC"/>
    <w:rsid w:val="001844DD"/>
    <w:rsid w:val="00185753"/>
    <w:rsid w:val="001865C8"/>
    <w:rsid w:val="001973A2"/>
    <w:rsid w:val="001C75F2"/>
    <w:rsid w:val="001D2063"/>
    <w:rsid w:val="001D43E9"/>
    <w:rsid w:val="002039A5"/>
    <w:rsid w:val="00224495"/>
    <w:rsid w:val="002264C3"/>
    <w:rsid w:val="00250A96"/>
    <w:rsid w:val="00261255"/>
    <w:rsid w:val="0029414C"/>
    <w:rsid w:val="002A0ADB"/>
    <w:rsid w:val="002B1653"/>
    <w:rsid w:val="002C4259"/>
    <w:rsid w:val="002C74A3"/>
    <w:rsid w:val="0030071E"/>
    <w:rsid w:val="003153CF"/>
    <w:rsid w:val="00343A2D"/>
    <w:rsid w:val="003453CA"/>
    <w:rsid w:val="003B3493"/>
    <w:rsid w:val="003C6494"/>
    <w:rsid w:val="003E1CD0"/>
    <w:rsid w:val="003F112B"/>
    <w:rsid w:val="0041513F"/>
    <w:rsid w:val="00424BC1"/>
    <w:rsid w:val="00435A87"/>
    <w:rsid w:val="00437549"/>
    <w:rsid w:val="00445B0C"/>
    <w:rsid w:val="0044752F"/>
    <w:rsid w:val="00483FE0"/>
    <w:rsid w:val="004A58C8"/>
    <w:rsid w:val="004D404D"/>
    <w:rsid w:val="004F234D"/>
    <w:rsid w:val="00505743"/>
    <w:rsid w:val="00511B6A"/>
    <w:rsid w:val="0054701E"/>
    <w:rsid w:val="00564EB9"/>
    <w:rsid w:val="00565D52"/>
    <w:rsid w:val="00586FDF"/>
    <w:rsid w:val="005A239F"/>
    <w:rsid w:val="005B5531"/>
    <w:rsid w:val="005C108B"/>
    <w:rsid w:val="005C44C5"/>
    <w:rsid w:val="005C6B34"/>
    <w:rsid w:val="005D3E43"/>
    <w:rsid w:val="005D4A9B"/>
    <w:rsid w:val="005D7880"/>
    <w:rsid w:val="005E231E"/>
    <w:rsid w:val="006121C2"/>
    <w:rsid w:val="006349AC"/>
    <w:rsid w:val="00657009"/>
    <w:rsid w:val="00681C79"/>
    <w:rsid w:val="006856E0"/>
    <w:rsid w:val="00687AA6"/>
    <w:rsid w:val="006B0C9C"/>
    <w:rsid w:val="006B3494"/>
    <w:rsid w:val="006E2F78"/>
    <w:rsid w:val="00740F71"/>
    <w:rsid w:val="00750D75"/>
    <w:rsid w:val="0075479C"/>
    <w:rsid w:val="007610BC"/>
    <w:rsid w:val="007714AB"/>
    <w:rsid w:val="007A7F99"/>
    <w:rsid w:val="007C0FEA"/>
    <w:rsid w:val="007D1E76"/>
    <w:rsid w:val="007D3CA4"/>
    <w:rsid w:val="007D4484"/>
    <w:rsid w:val="0082496A"/>
    <w:rsid w:val="008352D2"/>
    <w:rsid w:val="00852172"/>
    <w:rsid w:val="0086459F"/>
    <w:rsid w:val="008756D3"/>
    <w:rsid w:val="008A757D"/>
    <w:rsid w:val="008B0861"/>
    <w:rsid w:val="008C3BB8"/>
    <w:rsid w:val="008E076C"/>
    <w:rsid w:val="008E295C"/>
    <w:rsid w:val="00910642"/>
    <w:rsid w:val="00916D12"/>
    <w:rsid w:val="0091710D"/>
    <w:rsid w:val="0092765C"/>
    <w:rsid w:val="0093773D"/>
    <w:rsid w:val="009C3977"/>
    <w:rsid w:val="009D77DD"/>
    <w:rsid w:val="009E68A5"/>
    <w:rsid w:val="00A06487"/>
    <w:rsid w:val="00A223BD"/>
    <w:rsid w:val="00A41AF5"/>
    <w:rsid w:val="00A4610E"/>
    <w:rsid w:val="00A62E6E"/>
    <w:rsid w:val="00A64B81"/>
    <w:rsid w:val="00A668D5"/>
    <w:rsid w:val="00A714A2"/>
    <w:rsid w:val="00A730E0"/>
    <w:rsid w:val="00AA41E5"/>
    <w:rsid w:val="00AB722B"/>
    <w:rsid w:val="00AC0549"/>
    <w:rsid w:val="00AC302E"/>
    <w:rsid w:val="00AE0822"/>
    <w:rsid w:val="00AE0E11"/>
    <w:rsid w:val="00AE1F6A"/>
    <w:rsid w:val="00AF5CAD"/>
    <w:rsid w:val="00B236D8"/>
    <w:rsid w:val="00B27857"/>
    <w:rsid w:val="00B43CA3"/>
    <w:rsid w:val="00BA09E7"/>
    <w:rsid w:val="00BA1EC7"/>
    <w:rsid w:val="00BB216F"/>
    <w:rsid w:val="00BC0020"/>
    <w:rsid w:val="00BC0C3F"/>
    <w:rsid w:val="00BD18C7"/>
    <w:rsid w:val="00BE1180"/>
    <w:rsid w:val="00BE7A7E"/>
    <w:rsid w:val="00BF25E8"/>
    <w:rsid w:val="00C5244F"/>
    <w:rsid w:val="00C669D1"/>
    <w:rsid w:val="00C97E1E"/>
    <w:rsid w:val="00CB41C4"/>
    <w:rsid w:val="00CD1588"/>
    <w:rsid w:val="00CD6F5C"/>
    <w:rsid w:val="00CF1316"/>
    <w:rsid w:val="00CF31BA"/>
    <w:rsid w:val="00D13C44"/>
    <w:rsid w:val="00D217E5"/>
    <w:rsid w:val="00D35787"/>
    <w:rsid w:val="00D40F05"/>
    <w:rsid w:val="00D607AF"/>
    <w:rsid w:val="00D64622"/>
    <w:rsid w:val="00D84D4E"/>
    <w:rsid w:val="00D91597"/>
    <w:rsid w:val="00D975B1"/>
    <w:rsid w:val="00DB6E3D"/>
    <w:rsid w:val="00DE0E9E"/>
    <w:rsid w:val="00E00323"/>
    <w:rsid w:val="00E0751D"/>
    <w:rsid w:val="00E74967"/>
    <w:rsid w:val="00E7559F"/>
    <w:rsid w:val="00EA37F5"/>
    <w:rsid w:val="00EA7915"/>
    <w:rsid w:val="00F46719"/>
    <w:rsid w:val="00F54F6F"/>
    <w:rsid w:val="00F65A92"/>
    <w:rsid w:val="00F76A2A"/>
    <w:rsid w:val="00F94B4F"/>
  </w:rsids>
  <m:mathPr>
    <m:mathFont m:val="Cambria Math"/>
  </m:mathPr>
  <w:themeFontLang w:val="es-MX"/>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Heading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76"/>
    <w:pPr>
      <w:ind w:left="720"/>
      <w:contextualSpacing/>
    </w:pPr>
  </w:style>
  <w:style w:type="character" w:styleId="Hyperlink">
    <w:name w:val="Hyperlink"/>
    <w:uiPriority w:val="99"/>
    <w:unhideWhenUsed/>
    <w:rsid w:val="007D1E76"/>
    <w:rPr>
      <w:color w:val="0000FF"/>
      <w:u w:val="single"/>
    </w:rPr>
  </w:style>
  <w:style w:type="paragraph" w:styleId="Header">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Header"/>
    <w:uiPriority w:val="99"/>
    <w:rsid w:val="00E00323"/>
    <w:rPr>
      <w:sz w:val="22"/>
      <w:szCs w:val="22"/>
      <w:lang w:eastAsia="en-US"/>
    </w:rPr>
  </w:style>
  <w:style w:type="paragraph" w:styleId="Footer">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Footer"/>
    <w:uiPriority w:val="99"/>
    <w:rsid w:val="00E00323"/>
    <w:rPr>
      <w:sz w:val="22"/>
      <w:szCs w:val="22"/>
      <w:lang w:eastAsia="en-US"/>
    </w:rPr>
  </w:style>
  <w:style w:type="paragraph" w:styleId="BalloonText">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BalloonText"/>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itle">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DefaultParagraphFont"/>
    <w:link w:val="Title"/>
    <w:uiPriority w:val="10"/>
    <w:rsid w:val="00AA41E5"/>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DefaultParagraphFont"/>
    <w:link w:val="Heading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DefaultParagraphFont"/>
    <w:link w:val="Heading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F46719"/>
    <w:pPr>
      <w:spacing w:line="259" w:lineRule="auto"/>
      <w:outlineLvl w:val="9"/>
    </w:pPr>
    <w:rPr>
      <w:lang w:eastAsia="es-MX"/>
    </w:rPr>
  </w:style>
  <w:style w:type="paragraph" w:styleId="TOC2">
    <w:name w:val="toc 2"/>
    <w:basedOn w:val="Normal"/>
    <w:next w:val="Normal"/>
    <w:autoRedefine/>
    <w:uiPriority w:val="39"/>
    <w:unhideWhenUsed/>
    <w:rsid w:val="00F46719"/>
    <w:pPr>
      <w:spacing w:after="100"/>
      <w:ind w:left="220"/>
    </w:pPr>
  </w:style>
  <w:style w:type="paragraph" w:styleId="BodyText2">
    <w:name w:val="Body Text 2"/>
    <w:basedOn w:val="Normal"/>
    <w:link w:val="Textoindependiente2Car"/>
    <w:rsid w:val="007D3CA4"/>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DefaultParagraphFont"/>
    <w:link w:val="BodyText2"/>
    <w:rsid w:val="007D3CA4"/>
    <w:rPr>
      <w:rFonts w:ascii="Futura Lt BT" w:eastAsia="Times New Roman" w:hAnsi="Futura Lt BT"/>
      <w:lang w:val="es-ES" w:eastAsia="es-ES"/>
    </w:rPr>
  </w:style>
  <w:style w:type="character" w:styleId="SubtleEmphasis">
    <w:name w:val="Subtle Emphasis"/>
    <w:basedOn w:val="DefaultParagraphFont"/>
    <w:uiPriority w:val="19"/>
    <w:qFormat/>
    <w:rsid w:val="00B43CA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C:/Users/acorona/lquiroz/AppData/Local/Microsoft/Windows/Temporary%20Internet%20Files/Content.Outlook/HBGSO9P3/MODELO%20CTA%202013.pptx" TargetMode="External" /><Relationship Id="rId9"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617C1A4-CA73-4F72-9A4A-1EA6F471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3363</Words>
  <Characters>18498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52</cp:revision>
  <cp:lastPrinted>2021-02-12T18:11:00Z</cp:lastPrinted>
  <dcterms:created xsi:type="dcterms:W3CDTF">2017-01-12T05:27:00Z</dcterms:created>
  <dcterms:modified xsi:type="dcterms:W3CDTF">2021-02-12T18:11:00Z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