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2705B5D5" w:rsidR="007D1E76" w:rsidRPr="00E74967" w:rsidRDefault="004831EB" w:rsidP="00F067C8">
      <w:pPr>
        <w:tabs>
          <w:tab w:val="left" w:leader="underscore" w:pos="9639"/>
        </w:tabs>
        <w:spacing w:after="0" w:line="240" w:lineRule="auto"/>
        <w:jc w:val="center"/>
        <w:rPr>
          <w:rFonts w:cs="Calibri"/>
        </w:rPr>
      </w:pPr>
      <w:r>
        <w:rPr>
          <w:rFonts w:cs="Calibri"/>
        </w:rPr>
        <w:t>30-06-</w:t>
      </w:r>
      <w:r w:rsidR="00E0229C">
        <w:rPr>
          <w:rFonts w:cs="Calibri"/>
        </w:rPr>
        <w:t>2025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C9D9121"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7C660F">
              <w:rPr>
                <w:noProof/>
                <w:webHidden/>
              </w:rPr>
              <w:t>2</w:t>
            </w:r>
            <w:r w:rsidR="005F51CC">
              <w:rPr>
                <w:noProof/>
                <w:webHidden/>
              </w:rPr>
              <w:fldChar w:fldCharType="end"/>
            </w:r>
          </w:hyperlink>
        </w:p>
        <w:p w14:paraId="6A6756CA" w14:textId="6742A8B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7C660F">
              <w:rPr>
                <w:noProof/>
                <w:webHidden/>
              </w:rPr>
              <w:t>2</w:t>
            </w:r>
            <w:r>
              <w:rPr>
                <w:noProof/>
                <w:webHidden/>
              </w:rPr>
              <w:fldChar w:fldCharType="end"/>
            </w:r>
          </w:hyperlink>
        </w:p>
        <w:p w14:paraId="19796F35" w14:textId="2479B94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7C660F">
              <w:rPr>
                <w:noProof/>
                <w:webHidden/>
              </w:rPr>
              <w:t>3</w:t>
            </w:r>
            <w:r>
              <w:rPr>
                <w:noProof/>
                <w:webHidden/>
              </w:rPr>
              <w:fldChar w:fldCharType="end"/>
            </w:r>
          </w:hyperlink>
        </w:p>
        <w:p w14:paraId="62AC0657" w14:textId="19FE0AF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7C660F">
              <w:rPr>
                <w:noProof/>
                <w:webHidden/>
              </w:rPr>
              <w:t>4</w:t>
            </w:r>
            <w:r>
              <w:rPr>
                <w:noProof/>
                <w:webHidden/>
              </w:rPr>
              <w:fldChar w:fldCharType="end"/>
            </w:r>
          </w:hyperlink>
        </w:p>
        <w:p w14:paraId="7C7C1962" w14:textId="304FB5F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7C660F">
              <w:rPr>
                <w:noProof/>
                <w:webHidden/>
              </w:rPr>
              <w:t>5</w:t>
            </w:r>
            <w:r>
              <w:rPr>
                <w:noProof/>
                <w:webHidden/>
              </w:rPr>
              <w:fldChar w:fldCharType="end"/>
            </w:r>
          </w:hyperlink>
        </w:p>
        <w:p w14:paraId="3FE6C661" w14:textId="60FD611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7C660F">
              <w:rPr>
                <w:noProof/>
                <w:webHidden/>
              </w:rPr>
              <w:t>7</w:t>
            </w:r>
            <w:r>
              <w:rPr>
                <w:noProof/>
                <w:webHidden/>
              </w:rPr>
              <w:fldChar w:fldCharType="end"/>
            </w:r>
          </w:hyperlink>
        </w:p>
        <w:p w14:paraId="135541CC" w14:textId="18485A0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7C660F">
              <w:rPr>
                <w:noProof/>
                <w:webHidden/>
              </w:rPr>
              <w:t>7</w:t>
            </w:r>
            <w:r>
              <w:rPr>
                <w:noProof/>
                <w:webHidden/>
              </w:rPr>
              <w:fldChar w:fldCharType="end"/>
            </w:r>
          </w:hyperlink>
        </w:p>
        <w:p w14:paraId="48C9D852" w14:textId="1BD56F9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7C660F">
              <w:rPr>
                <w:noProof/>
                <w:webHidden/>
              </w:rPr>
              <w:t>9</w:t>
            </w:r>
            <w:r>
              <w:rPr>
                <w:noProof/>
                <w:webHidden/>
              </w:rPr>
              <w:fldChar w:fldCharType="end"/>
            </w:r>
          </w:hyperlink>
        </w:p>
        <w:p w14:paraId="027C97E3" w14:textId="7A49305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7C660F">
              <w:rPr>
                <w:noProof/>
                <w:webHidden/>
              </w:rPr>
              <w:t>9</w:t>
            </w:r>
            <w:r>
              <w:rPr>
                <w:noProof/>
                <w:webHidden/>
              </w:rPr>
              <w:fldChar w:fldCharType="end"/>
            </w:r>
          </w:hyperlink>
        </w:p>
        <w:p w14:paraId="00DB87A1" w14:textId="39713B1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7C660F">
              <w:rPr>
                <w:noProof/>
                <w:webHidden/>
              </w:rPr>
              <w:t>10</w:t>
            </w:r>
            <w:r>
              <w:rPr>
                <w:noProof/>
                <w:webHidden/>
              </w:rPr>
              <w:fldChar w:fldCharType="end"/>
            </w:r>
          </w:hyperlink>
        </w:p>
        <w:p w14:paraId="00EEECC2" w14:textId="232BA1A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7C660F">
              <w:rPr>
                <w:noProof/>
                <w:webHidden/>
              </w:rPr>
              <w:t>10</w:t>
            </w:r>
            <w:r>
              <w:rPr>
                <w:noProof/>
                <w:webHidden/>
              </w:rPr>
              <w:fldChar w:fldCharType="end"/>
            </w:r>
          </w:hyperlink>
        </w:p>
        <w:p w14:paraId="68FD7A9A" w14:textId="6B884C3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7C660F">
              <w:rPr>
                <w:noProof/>
                <w:webHidden/>
              </w:rPr>
              <w:t>10</w:t>
            </w:r>
            <w:r>
              <w:rPr>
                <w:noProof/>
                <w:webHidden/>
              </w:rPr>
              <w:fldChar w:fldCharType="end"/>
            </w:r>
          </w:hyperlink>
        </w:p>
        <w:p w14:paraId="5F55527F" w14:textId="62CA569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7C660F">
              <w:rPr>
                <w:noProof/>
                <w:webHidden/>
              </w:rPr>
              <w:t>11</w:t>
            </w:r>
            <w:r>
              <w:rPr>
                <w:noProof/>
                <w:webHidden/>
              </w:rPr>
              <w:fldChar w:fldCharType="end"/>
            </w:r>
          </w:hyperlink>
        </w:p>
        <w:p w14:paraId="674ABB69" w14:textId="34EA04C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7C660F">
              <w:rPr>
                <w:noProof/>
                <w:webHidden/>
              </w:rPr>
              <w:t>11</w:t>
            </w:r>
            <w:r>
              <w:rPr>
                <w:noProof/>
                <w:webHidden/>
              </w:rPr>
              <w:fldChar w:fldCharType="end"/>
            </w:r>
          </w:hyperlink>
        </w:p>
        <w:p w14:paraId="39048CDA" w14:textId="2CC8A65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7C660F">
              <w:rPr>
                <w:noProof/>
                <w:webHidden/>
              </w:rPr>
              <w:t>11</w:t>
            </w:r>
            <w:r>
              <w:rPr>
                <w:noProof/>
                <w:webHidden/>
              </w:rPr>
              <w:fldChar w:fldCharType="end"/>
            </w:r>
          </w:hyperlink>
        </w:p>
        <w:p w14:paraId="7E9C5BA3" w14:textId="05326F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7C660F">
              <w:rPr>
                <w:noProof/>
                <w:webHidden/>
              </w:rPr>
              <w:t>11</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2B377006" w:rsidR="007D1E76" w:rsidRDefault="007C660F" w:rsidP="007C660F">
      <w:pPr>
        <w:spacing w:after="0" w:line="240" w:lineRule="auto"/>
        <w:jc w:val="both"/>
        <w:rPr>
          <w:rFonts w:ascii="Arial" w:hAnsi="Arial" w:cs="Arial"/>
          <w:sz w:val="20"/>
          <w:szCs w:val="20"/>
        </w:rPr>
      </w:pPr>
      <w:r w:rsidRPr="00BB216F">
        <w:rPr>
          <w:rFonts w:ascii="Arial" w:hAnsi="Arial" w:cs="Arial"/>
          <w:sz w:val="20"/>
          <w:szCs w:val="20"/>
        </w:rPr>
        <w:t xml:space="preserve">El Instituto Municipal de Vivienda de Irapuato nace en el año 2003 con el objetivo principal </w:t>
      </w:r>
    </w:p>
    <w:p w14:paraId="655EA603" w14:textId="77777777" w:rsidR="007C660F" w:rsidRPr="00E74967" w:rsidRDefault="007C660F" w:rsidP="007C660F">
      <w:pPr>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50F8C50" w14:textId="77777777" w:rsidR="007C660F" w:rsidRPr="00E74967" w:rsidRDefault="007C660F" w:rsidP="007C660F">
      <w:pPr>
        <w:pStyle w:val="Encabezado"/>
        <w:tabs>
          <w:tab w:val="clear" w:pos="4419"/>
          <w:tab w:val="clear" w:pos="8838"/>
        </w:tabs>
        <w:rPr>
          <w:rFonts w:cs="Calibri"/>
        </w:rPr>
      </w:pPr>
      <w:r w:rsidRPr="00BB216F">
        <w:rPr>
          <w:rFonts w:ascii="Arial" w:hAnsi="Arial" w:cs="Arial"/>
          <w:bCs/>
          <w:sz w:val="20"/>
          <w:szCs w:val="20"/>
        </w:rPr>
        <w:t xml:space="preserve">En Reunión Ordinaria Núm. 32/09 de fecha 25 de agosto del 2009, el Consejo Directivo aprobó la modificación al Reglamento </w:t>
      </w:r>
      <w:r>
        <w:rPr>
          <w:rFonts w:ascii="Arial" w:hAnsi="Arial" w:cs="Arial"/>
          <w:bCs/>
          <w:sz w:val="20"/>
          <w:szCs w:val="20"/>
        </w:rPr>
        <w:t xml:space="preserve">municipales </w:t>
      </w:r>
      <w:r w:rsidRPr="00BB216F">
        <w:rPr>
          <w:rFonts w:ascii="Arial" w:hAnsi="Arial" w:cs="Arial"/>
          <w:bCs/>
          <w:sz w:val="20"/>
          <w:szCs w:val="20"/>
        </w:rPr>
        <w:t>VII, en el que se propone de entre otros cambios, los ajustes a la Estructura Orgánica del Instituto dada la operatividad del mismo y en atención a la nueva Ley de Vivienda en el Estado. El Reglamento Interno fue turnado para su análisis y aprobación del Honorable Ayuntamiento en fecha 25 de agosto del 2009</w:t>
      </w:r>
    </w:p>
    <w:p w14:paraId="7086BD77" w14:textId="77777777" w:rsidR="007C660F" w:rsidRDefault="007C660F" w:rsidP="007C660F">
      <w:pPr>
        <w:pStyle w:val="Encabezado"/>
        <w:tabs>
          <w:tab w:val="clear" w:pos="4419"/>
          <w:tab w:val="clear" w:pos="8838"/>
        </w:tabs>
        <w:rPr>
          <w:rFonts w:ascii="Arial" w:hAnsi="Arial" w:cs="Arial"/>
          <w:bCs/>
          <w:sz w:val="20"/>
          <w:szCs w:val="20"/>
        </w:rPr>
      </w:pPr>
      <w:r>
        <w:rPr>
          <w:rFonts w:ascii="Arial" w:hAnsi="Arial" w:cs="Arial"/>
          <w:bCs/>
          <w:sz w:val="20"/>
          <w:szCs w:val="20"/>
        </w:rPr>
        <w:t>Derivado de la entrada en vigor del Código Territorial y la obligación de los Municipios de armonizar sus reglamentos municipales en el ejercicio 2013; se remitió el 31 de octubre de 2013 el Proyecto de Iniciativa de Reforma del Reglamento, así como la manifestación de impacto Regulatorio de conformidad con el artículo 238 de la Ley Orgánica Municipal,</w:t>
      </w:r>
      <w:r w:rsidRPr="00BB216F">
        <w:rPr>
          <w:rFonts w:ascii="Arial" w:hAnsi="Arial" w:cs="Arial"/>
          <w:bCs/>
          <w:sz w:val="20"/>
          <w:szCs w:val="20"/>
        </w:rPr>
        <w:t xml:space="preserve"> sin que a la fecha se haya obtenido respuesta de su parte.</w:t>
      </w:r>
    </w:p>
    <w:p w14:paraId="312855A2" w14:textId="77777777" w:rsidR="007C660F" w:rsidRPr="00E74967" w:rsidRDefault="007C660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E960EBD" w14:textId="77777777" w:rsidR="007C660F" w:rsidRPr="00BB216F" w:rsidRDefault="007C660F" w:rsidP="007C660F">
      <w:pPr>
        <w:spacing w:after="0" w:line="240" w:lineRule="auto"/>
        <w:jc w:val="both"/>
        <w:rPr>
          <w:rFonts w:ascii="Arial" w:hAnsi="Arial" w:cs="Arial"/>
          <w:sz w:val="20"/>
          <w:szCs w:val="20"/>
        </w:rPr>
      </w:pPr>
      <w:r w:rsidRPr="00BB216F">
        <w:rPr>
          <w:rFonts w:ascii="Arial" w:hAnsi="Arial" w:cs="Arial"/>
          <w:sz w:val="20"/>
          <w:szCs w:val="20"/>
        </w:rPr>
        <w:t>El IMUVII se crea con la donación que realiza el Gobierno del Estado del patrimonio que era del extinto Fideicomiso Desarrollo de Vivienda de Irapuato (FIDEVI), es decir con las cuentas por cobrar de los créditos que el FIDEVI había otorgado durante su existencia y con la Reserva Territorial que había conformado y que aún no se desarrollaba (Las Liebres, en el que se implementa el Programa Tu Casa 2007 y 2008); así como de la donación de las cuentas por cobrar que el Municipio tenía del Programa Federal de Vivienda “Vivah”.</w:t>
      </w:r>
    </w:p>
    <w:p w14:paraId="3DC06112" w14:textId="77777777" w:rsidR="007C660F" w:rsidRDefault="007C660F" w:rsidP="007C660F">
      <w:pPr>
        <w:spacing w:after="0" w:line="240" w:lineRule="auto"/>
        <w:jc w:val="both"/>
        <w:rPr>
          <w:rFonts w:ascii="Arial" w:hAnsi="Arial" w:cs="Arial"/>
          <w:sz w:val="20"/>
          <w:szCs w:val="20"/>
        </w:rPr>
      </w:pPr>
      <w:r w:rsidRPr="00BB216F">
        <w:rPr>
          <w:rFonts w:ascii="Arial" w:hAnsi="Arial" w:cs="Arial"/>
          <w:sz w:val="20"/>
          <w:szCs w:val="20"/>
        </w:rPr>
        <w:t>Asimismo, el IVEG (ahora COVEG) dona al Municipio 12 hectáreas de terreno en el que se implementa el Programa Tu Casa 2004 y 2008.</w:t>
      </w:r>
    </w:p>
    <w:p w14:paraId="1858C569" w14:textId="77777777" w:rsidR="007C660F" w:rsidRPr="00BB216F" w:rsidRDefault="007C660F" w:rsidP="007C660F">
      <w:pPr>
        <w:spacing w:after="0" w:line="240" w:lineRule="auto"/>
        <w:jc w:val="both"/>
        <w:rPr>
          <w:rFonts w:ascii="Arial" w:hAnsi="Arial" w:cs="Arial"/>
          <w:sz w:val="20"/>
          <w:szCs w:val="20"/>
        </w:rPr>
      </w:pPr>
    </w:p>
    <w:p w14:paraId="056357C0" w14:textId="5F25F04E" w:rsidR="007C660F" w:rsidRDefault="007C660F" w:rsidP="007C660F">
      <w:pPr>
        <w:spacing w:after="0" w:line="240" w:lineRule="auto"/>
        <w:jc w:val="both"/>
        <w:rPr>
          <w:rFonts w:ascii="Arial" w:hAnsi="Arial" w:cs="Arial"/>
          <w:sz w:val="20"/>
          <w:szCs w:val="20"/>
          <w:lang w:val="es-ES"/>
        </w:rPr>
      </w:pPr>
      <w:r>
        <w:rPr>
          <w:rFonts w:ascii="Arial" w:hAnsi="Arial" w:cs="Arial"/>
          <w:sz w:val="20"/>
          <w:szCs w:val="20"/>
          <w:lang w:val="es-ES"/>
        </w:rPr>
        <w:t xml:space="preserve">En el ejercicio 2014 se adquirió una nueva reserva en el Guayabo, y en el 2017 se adquirió otra reserva el Guayabo II; actualmente la reserva El Guayabo </w:t>
      </w:r>
      <w:r w:rsidR="001842C7">
        <w:rPr>
          <w:rFonts w:ascii="Arial" w:hAnsi="Arial" w:cs="Arial"/>
          <w:sz w:val="20"/>
          <w:szCs w:val="20"/>
          <w:lang w:val="es-ES"/>
        </w:rPr>
        <w:t xml:space="preserve">se </w:t>
      </w:r>
      <w:r w:rsidR="00310C3F">
        <w:rPr>
          <w:rFonts w:ascii="Arial" w:hAnsi="Arial" w:cs="Arial"/>
          <w:sz w:val="20"/>
          <w:szCs w:val="20"/>
          <w:lang w:val="es-ES"/>
        </w:rPr>
        <w:t>vendió</w:t>
      </w:r>
      <w:r w:rsidR="001842C7">
        <w:rPr>
          <w:rFonts w:ascii="Arial" w:hAnsi="Arial" w:cs="Arial"/>
          <w:sz w:val="20"/>
          <w:szCs w:val="20"/>
          <w:lang w:val="es-ES"/>
        </w:rPr>
        <w:t xml:space="preserve"> a través de </w:t>
      </w:r>
      <w:r w:rsidR="00310C3F">
        <w:rPr>
          <w:rFonts w:ascii="Arial" w:hAnsi="Arial" w:cs="Arial"/>
          <w:sz w:val="20"/>
          <w:szCs w:val="20"/>
          <w:lang w:val="es-ES"/>
        </w:rPr>
        <w:t>promotoría</w:t>
      </w:r>
      <w:r>
        <w:rPr>
          <w:rFonts w:ascii="Arial" w:hAnsi="Arial" w:cs="Arial"/>
          <w:sz w:val="20"/>
          <w:szCs w:val="20"/>
          <w:lang w:val="es-ES"/>
        </w:rPr>
        <w:t xml:space="preserve">, y </w:t>
      </w:r>
      <w:r w:rsidR="001842C7">
        <w:rPr>
          <w:rFonts w:ascii="Arial" w:hAnsi="Arial" w:cs="Arial"/>
          <w:sz w:val="20"/>
          <w:szCs w:val="20"/>
          <w:lang w:val="es-ES"/>
        </w:rPr>
        <w:t xml:space="preserve">se esta trabajando </w:t>
      </w:r>
      <w:r w:rsidR="00310C3F">
        <w:rPr>
          <w:rFonts w:ascii="Arial" w:hAnsi="Arial" w:cs="Arial"/>
          <w:sz w:val="20"/>
          <w:szCs w:val="20"/>
          <w:lang w:val="es-ES"/>
        </w:rPr>
        <w:t>en</w:t>
      </w:r>
      <w:r w:rsidR="001842C7">
        <w:rPr>
          <w:rFonts w:ascii="Arial" w:hAnsi="Arial" w:cs="Arial"/>
          <w:sz w:val="20"/>
          <w:szCs w:val="20"/>
          <w:lang w:val="es-ES"/>
        </w:rPr>
        <w:t xml:space="preserve"> el Guayabo II para su venta y </w:t>
      </w:r>
      <w:r>
        <w:rPr>
          <w:rFonts w:ascii="Arial" w:hAnsi="Arial" w:cs="Arial"/>
          <w:sz w:val="20"/>
          <w:szCs w:val="20"/>
          <w:lang w:val="es-ES"/>
        </w:rPr>
        <w:t>se adquirió una nueva reserva “La Palma”</w:t>
      </w:r>
    </w:p>
    <w:p w14:paraId="5E4803F5" w14:textId="77777777" w:rsidR="00E0229C" w:rsidRDefault="00E0229C" w:rsidP="007C660F">
      <w:pPr>
        <w:spacing w:after="0" w:line="240" w:lineRule="auto"/>
        <w:jc w:val="both"/>
        <w:rPr>
          <w:rFonts w:ascii="Arial" w:hAnsi="Arial" w:cs="Arial"/>
          <w:sz w:val="20"/>
          <w:szCs w:val="20"/>
          <w:lang w:val="es-ES"/>
        </w:rPr>
      </w:pPr>
    </w:p>
    <w:p w14:paraId="48C25370" w14:textId="425AD653" w:rsidR="00E0229C" w:rsidRDefault="00E0229C" w:rsidP="007C660F">
      <w:pPr>
        <w:spacing w:after="0" w:line="240" w:lineRule="auto"/>
        <w:jc w:val="both"/>
        <w:rPr>
          <w:rFonts w:ascii="Arial" w:hAnsi="Arial" w:cs="Arial"/>
          <w:sz w:val="20"/>
          <w:szCs w:val="20"/>
          <w:lang w:val="es-ES"/>
        </w:rPr>
      </w:pPr>
      <w:r>
        <w:rPr>
          <w:rFonts w:ascii="Arial" w:hAnsi="Arial" w:cs="Arial"/>
          <w:sz w:val="20"/>
          <w:szCs w:val="20"/>
          <w:lang w:val="es-ES"/>
        </w:rPr>
        <w:t xml:space="preserve">Actualmente se encuentra en proceso de la adquisición de otra reserva “Expofresas” con el que se pretende realizar acciones de vivienda. </w:t>
      </w:r>
    </w:p>
    <w:p w14:paraId="093D594B" w14:textId="77777777" w:rsidR="00E0229C" w:rsidRDefault="00E0229C" w:rsidP="007C660F">
      <w:pPr>
        <w:spacing w:after="0" w:line="240" w:lineRule="auto"/>
        <w:jc w:val="both"/>
        <w:rPr>
          <w:rFonts w:ascii="Arial" w:hAnsi="Arial" w:cs="Arial"/>
          <w:sz w:val="20"/>
          <w:szCs w:val="20"/>
          <w:lang w:val="es-ES"/>
        </w:rPr>
      </w:pPr>
    </w:p>
    <w:p w14:paraId="4F2A2755" w14:textId="77777777" w:rsidR="007C660F" w:rsidRDefault="007C660F" w:rsidP="007C660F">
      <w:pPr>
        <w:spacing w:after="0" w:line="240" w:lineRule="auto"/>
        <w:jc w:val="both"/>
        <w:rPr>
          <w:rFonts w:ascii="Arial" w:hAnsi="Arial" w:cs="Arial"/>
          <w:sz w:val="20"/>
          <w:szCs w:val="20"/>
          <w:lang w:val="es-ES"/>
        </w:rPr>
      </w:pPr>
      <w:r>
        <w:rPr>
          <w:rFonts w:ascii="Arial" w:hAnsi="Arial" w:cs="Arial"/>
          <w:sz w:val="20"/>
          <w:szCs w:val="20"/>
          <w:lang w:val="es-ES"/>
        </w:rPr>
        <w:t>La inversión en adquisición de reserva Territorial</w:t>
      </w:r>
      <w:r w:rsidRPr="00BB216F">
        <w:rPr>
          <w:rFonts w:ascii="Arial" w:hAnsi="Arial" w:cs="Arial"/>
          <w:sz w:val="20"/>
          <w:szCs w:val="20"/>
          <w:lang w:val="es-ES"/>
        </w:rPr>
        <w:t xml:space="preserve"> ha originado que de la totalidad de los ingresos que recibe el IMUVII, se destine la mayor </w:t>
      </w:r>
      <w:r>
        <w:rPr>
          <w:rFonts w:ascii="Arial" w:hAnsi="Arial" w:cs="Arial"/>
          <w:sz w:val="20"/>
          <w:szCs w:val="20"/>
          <w:lang w:val="es-ES"/>
        </w:rPr>
        <w:t>parte de ellos al pago de esta</w:t>
      </w:r>
      <w:r w:rsidRPr="00BB216F">
        <w:rPr>
          <w:rFonts w:ascii="Arial" w:hAnsi="Arial" w:cs="Arial"/>
          <w:sz w:val="20"/>
          <w:szCs w:val="20"/>
          <w:lang w:val="es-ES"/>
        </w:rPr>
        <w:t>, quedando muy poco recurso para invertirlo en su desarrollo</w:t>
      </w:r>
    </w:p>
    <w:p w14:paraId="1F33C5C4" w14:textId="77777777" w:rsidR="007C660F" w:rsidRPr="00BB216F" w:rsidRDefault="007C660F" w:rsidP="007C660F">
      <w:pPr>
        <w:spacing w:after="0" w:line="240" w:lineRule="auto"/>
        <w:jc w:val="both"/>
        <w:rPr>
          <w:rFonts w:ascii="Arial" w:hAnsi="Arial" w:cs="Arial"/>
          <w:sz w:val="20"/>
          <w:szCs w:val="20"/>
          <w:lang w:val="es-ES"/>
        </w:rPr>
      </w:pPr>
    </w:p>
    <w:p w14:paraId="2036BA89" w14:textId="460D32C6" w:rsidR="007C660F" w:rsidRDefault="007C660F" w:rsidP="007C660F">
      <w:pPr>
        <w:spacing w:after="0" w:line="240" w:lineRule="auto"/>
        <w:jc w:val="both"/>
        <w:rPr>
          <w:rFonts w:ascii="Arial" w:hAnsi="Arial" w:cs="Arial"/>
          <w:sz w:val="20"/>
          <w:szCs w:val="20"/>
        </w:rPr>
      </w:pPr>
      <w:r>
        <w:rPr>
          <w:rFonts w:ascii="Arial" w:hAnsi="Arial" w:cs="Arial"/>
          <w:sz w:val="20"/>
          <w:szCs w:val="20"/>
        </w:rPr>
        <w:t>En este ejercicio 202</w:t>
      </w:r>
      <w:r w:rsidR="00E0229C">
        <w:rPr>
          <w:rFonts w:ascii="Arial" w:hAnsi="Arial" w:cs="Arial"/>
          <w:sz w:val="20"/>
          <w:szCs w:val="20"/>
        </w:rPr>
        <w:t>5</w:t>
      </w:r>
      <w:r>
        <w:rPr>
          <w:rFonts w:ascii="Arial" w:hAnsi="Arial" w:cs="Arial"/>
          <w:sz w:val="20"/>
          <w:szCs w:val="20"/>
        </w:rPr>
        <w:t xml:space="preserve"> no </w:t>
      </w:r>
      <w:r w:rsidR="00914E3B">
        <w:rPr>
          <w:rFonts w:ascii="Arial" w:hAnsi="Arial" w:cs="Arial"/>
          <w:sz w:val="20"/>
          <w:szCs w:val="20"/>
        </w:rPr>
        <w:t>se recibio</w:t>
      </w:r>
      <w:r>
        <w:rPr>
          <w:rFonts w:ascii="Arial" w:hAnsi="Arial" w:cs="Arial"/>
          <w:sz w:val="20"/>
          <w:szCs w:val="20"/>
        </w:rPr>
        <w:t xml:space="preserve"> recurso del </w:t>
      </w:r>
      <w:r w:rsidRPr="00BB216F">
        <w:rPr>
          <w:rFonts w:ascii="Arial" w:hAnsi="Arial" w:cs="Arial"/>
          <w:sz w:val="20"/>
          <w:szCs w:val="20"/>
        </w:rPr>
        <w:t xml:space="preserve"> Ramo 33 para gasto de inversión, por lo  mismo ha sido insuficiente para poder atender la demanda de vivie</w:t>
      </w:r>
      <w:r>
        <w:rPr>
          <w:rFonts w:ascii="Arial" w:hAnsi="Arial" w:cs="Arial"/>
          <w:sz w:val="20"/>
          <w:szCs w:val="20"/>
        </w:rPr>
        <w:t>nda que existe en el Municipio.</w:t>
      </w:r>
    </w:p>
    <w:p w14:paraId="6E9ED470" w14:textId="77777777" w:rsidR="007C660F" w:rsidRPr="00E74967" w:rsidRDefault="007C660F" w:rsidP="007C660F">
      <w:pPr>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044CA20"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I. Establecer, promover y llevar a cabo programas de vivienda, para que las familias de escasos recursos económicos, puedan adquirir, mejorar o auto construir su vivienda;</w:t>
      </w:r>
    </w:p>
    <w:p w14:paraId="6A0AD45C"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II. Establecer en coordinación con las Dependencias Municipales competentes, en el marco del Plan de Desarrollo Municipal así como del Plan de Gobierno Municipal, las políticas de inversión pública en materia de vivienda;</w:t>
      </w:r>
    </w:p>
    <w:p w14:paraId="3C81CA1B"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III. Promover o ejecutar fraccionamientos de habitación popular o de interés social, con la finalidad de que las familias de recursos limitados puedan tener la oportunidad de adquirir un lote o vivienda digna, en las mejores condiciones posibles, en los términos de la Ley aplicable;</w:t>
      </w:r>
    </w:p>
    <w:p w14:paraId="5A333943"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IV. Promover y desarrollar fraccionamientos de urbanización progresiva, en los términos de la normatividad aplicable;</w:t>
      </w:r>
    </w:p>
    <w:p w14:paraId="7A2895CE"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 Establecer y operar sistemas de financiamiento que permitan a las familias de escasos recursos, obtener créditos baratos y suficientes para la adquisición de un lote o vivienda popular o de interés social;</w:t>
      </w:r>
    </w:p>
    <w:p w14:paraId="0207F135"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VI. Conformar la reserva territorial del Municipio para vivienda popular y de interés social, con objeto de evitar el establecimiento de asentamientos humanos irregulares;</w:t>
      </w:r>
    </w:p>
    <w:p w14:paraId="05BD2AFD"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VII. Adquirir los inmuebles indispensables para los programas habitacionales que desarrolle y gestionar ante los Gobiernos Federal, Estatal o Municipal e Instituciones Privadas, las aportaciones necesarias para el mismo fin;</w:t>
      </w:r>
    </w:p>
    <w:p w14:paraId="3F044AD4" w14:textId="77777777" w:rsidR="007C660F" w:rsidRDefault="007C660F" w:rsidP="007C660F">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VIII. Implementar en coordinación con las autoridades competentes, programas de regularización de la tenencia de la tierra y seguridad en la propiedad de la vivienda, de conformidad con las disposiciones legales aplicables.</w:t>
      </w:r>
    </w:p>
    <w:p w14:paraId="75867B57" w14:textId="77777777" w:rsidR="007C660F" w:rsidRDefault="007C660F" w:rsidP="007C660F">
      <w:pPr>
        <w:tabs>
          <w:tab w:val="left" w:leader="underscore" w:pos="9639"/>
        </w:tabs>
        <w:spacing w:after="0" w:line="240" w:lineRule="auto"/>
        <w:jc w:val="both"/>
        <w:rPr>
          <w:rFonts w:ascii="Arial" w:hAnsi="Arial" w:cs="Arial"/>
          <w:sz w:val="20"/>
          <w:szCs w:val="20"/>
        </w:rPr>
      </w:pPr>
    </w:p>
    <w:p w14:paraId="2C110A08" w14:textId="22B7856D" w:rsidR="007D1E76" w:rsidRPr="00E74967" w:rsidRDefault="007D1E76" w:rsidP="007C660F">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8C1F788" w14:textId="77777777" w:rsidR="007C660F" w:rsidRPr="00BB216F" w:rsidRDefault="007C660F" w:rsidP="007C660F">
      <w:pPr>
        <w:spacing w:after="0" w:line="240" w:lineRule="auto"/>
        <w:jc w:val="both"/>
        <w:rPr>
          <w:rFonts w:ascii="Arial" w:hAnsi="Arial" w:cs="Arial"/>
          <w:sz w:val="20"/>
          <w:szCs w:val="20"/>
        </w:rPr>
      </w:pPr>
      <w:r w:rsidRPr="00BB216F">
        <w:rPr>
          <w:rFonts w:ascii="Arial" w:hAnsi="Arial" w:cs="Arial"/>
          <w:sz w:val="20"/>
          <w:szCs w:val="20"/>
        </w:rPr>
        <w:t>I. Gestionar y promover programas de vivienda para la población de escasos recursos económicos del Municipio de Irapuato, Gto.</w:t>
      </w:r>
    </w:p>
    <w:p w14:paraId="4442174A" w14:textId="77777777" w:rsidR="007C660F" w:rsidRDefault="007C660F" w:rsidP="007C660F">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II. Operación del programa de regularización de asentamientos humanos en el Municipio</w:t>
      </w:r>
    </w:p>
    <w:p w14:paraId="36844787" w14:textId="77777777" w:rsidR="007C660F" w:rsidRPr="00E74967" w:rsidRDefault="007C660F" w:rsidP="007C660F">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31682F1E" w:rsidR="007D1E76" w:rsidRPr="00E74967" w:rsidRDefault="007C660F" w:rsidP="00CB41C4">
      <w:pPr>
        <w:tabs>
          <w:tab w:val="left" w:leader="underscore" w:pos="9639"/>
        </w:tabs>
        <w:spacing w:after="0" w:line="240" w:lineRule="auto"/>
        <w:jc w:val="both"/>
        <w:rPr>
          <w:rFonts w:cs="Calibri"/>
        </w:rPr>
      </w:pPr>
      <w:r>
        <w:rPr>
          <w:rFonts w:cs="Calibri"/>
        </w:rPr>
        <w:t>Enero-</w:t>
      </w:r>
      <w:r w:rsidR="004831EB">
        <w:rPr>
          <w:rFonts w:cs="Calibri"/>
        </w:rPr>
        <w:t xml:space="preserve">Junio </w:t>
      </w:r>
      <w:r w:rsidR="00E0229C">
        <w:rPr>
          <w:rFonts w:cs="Calibri"/>
        </w:rPr>
        <w:t>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49A3C4DD" w:rsidR="007D1E76" w:rsidRPr="00E74967" w:rsidRDefault="007C660F" w:rsidP="00CB41C4">
      <w:pPr>
        <w:tabs>
          <w:tab w:val="left" w:leader="underscore" w:pos="9639"/>
        </w:tabs>
        <w:spacing w:after="0" w:line="240" w:lineRule="auto"/>
        <w:jc w:val="both"/>
        <w:rPr>
          <w:rFonts w:cs="Calibri"/>
        </w:rPr>
      </w:pPr>
      <w:r>
        <w:rPr>
          <w:rFonts w:cs="Calibri"/>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4F18187"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r>
        <w:rPr>
          <w:rFonts w:ascii="Arial" w:hAnsi="Arial" w:cs="Arial"/>
          <w:bCs/>
          <w:sz w:val="20"/>
          <w:szCs w:val="20"/>
          <w:lang w:eastAsia="es-MX"/>
        </w:rPr>
        <w:t>I.</w:t>
      </w:r>
      <w:r w:rsidRPr="00BB216F">
        <w:rPr>
          <w:rFonts w:ascii="Arial" w:hAnsi="Arial" w:cs="Arial"/>
          <w:bCs/>
          <w:sz w:val="20"/>
          <w:szCs w:val="20"/>
          <w:lang w:eastAsia="es-MX"/>
        </w:rPr>
        <w:t xml:space="preserve"> Presentar la declaración y pago provisional mensual de retenciones de Impuesto Sobre la Renta (ISR) por sueldos y salarios. </w:t>
      </w:r>
    </w:p>
    <w:p w14:paraId="2002F302" w14:textId="77777777" w:rsidR="003F1CCB" w:rsidRPr="00BB216F" w:rsidRDefault="003F1CCB" w:rsidP="003F1CCB">
      <w:pPr>
        <w:autoSpaceDE w:val="0"/>
        <w:autoSpaceDN w:val="0"/>
        <w:adjustRightInd w:val="0"/>
        <w:spacing w:after="0" w:line="240" w:lineRule="auto"/>
        <w:rPr>
          <w:rFonts w:ascii="Arial" w:hAnsi="Arial" w:cs="Arial"/>
          <w:bCs/>
          <w:sz w:val="20"/>
          <w:szCs w:val="20"/>
          <w:lang w:eastAsia="es-MX"/>
        </w:rPr>
      </w:pPr>
    </w:p>
    <w:p w14:paraId="2C315AD6"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r w:rsidRPr="00BB216F">
        <w:rPr>
          <w:rFonts w:ascii="Arial" w:hAnsi="Arial" w:cs="Arial"/>
          <w:bCs/>
          <w:sz w:val="20"/>
          <w:szCs w:val="20"/>
          <w:lang w:eastAsia="es-MX"/>
        </w:rPr>
        <w:t>II. Presentar la declaración y pago provisional mensual de Impuesto Sobre la Renta (ISR) por las retenciones realizadas por servicios profesionales.</w:t>
      </w:r>
    </w:p>
    <w:p w14:paraId="7C7685AD"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p>
    <w:p w14:paraId="69F3380E" w14:textId="77777777" w:rsidR="003F1CCB" w:rsidRPr="00BB216F" w:rsidRDefault="003F1CCB" w:rsidP="003F1CCB">
      <w:pPr>
        <w:autoSpaceDE w:val="0"/>
        <w:autoSpaceDN w:val="0"/>
        <w:adjustRightInd w:val="0"/>
        <w:spacing w:after="0" w:line="240" w:lineRule="auto"/>
        <w:rPr>
          <w:rFonts w:ascii="Arial" w:hAnsi="Arial" w:cs="Arial"/>
          <w:bCs/>
          <w:sz w:val="20"/>
          <w:szCs w:val="20"/>
          <w:lang w:eastAsia="es-MX"/>
        </w:rPr>
      </w:pPr>
      <w:r w:rsidRPr="00BB216F">
        <w:rPr>
          <w:rFonts w:ascii="Arial" w:hAnsi="Arial" w:cs="Arial"/>
          <w:bCs/>
          <w:sz w:val="20"/>
          <w:szCs w:val="20"/>
          <w:lang w:eastAsia="es-MX"/>
        </w:rPr>
        <w:t>V. Presentar la declaración y pago provisional mensual de Impuesto Sobre la Renta (ISR) por las retenciones realizadas a los trabajadores asimilados a salarios.</w:t>
      </w:r>
    </w:p>
    <w:p w14:paraId="7E6777B9" w14:textId="16981F32" w:rsidR="007D1E76" w:rsidRPr="00E74967" w:rsidRDefault="007D1E76"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501F2E3D" w:rsidR="007D1E76" w:rsidRDefault="007B212F" w:rsidP="00CB41C4">
      <w:pPr>
        <w:tabs>
          <w:tab w:val="left" w:leader="underscore" w:pos="9639"/>
        </w:tabs>
        <w:spacing w:after="0" w:line="240" w:lineRule="auto"/>
        <w:jc w:val="both"/>
        <w:rPr>
          <w:rFonts w:cs="Calibri"/>
        </w:rPr>
      </w:pPr>
      <w:r>
        <w:rPr>
          <w:noProof/>
        </w:rPr>
        <w:lastRenderedPageBreak/>
        <w:drawing>
          <wp:inline distT="0" distB="0" distL="0" distR="0" wp14:anchorId="573DC36F" wp14:editId="5CEADDB3">
            <wp:extent cx="6128354" cy="4514850"/>
            <wp:effectExtent l="0" t="0" r="6350" b="0"/>
            <wp:docPr id="20736082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08214" name=""/>
                    <pic:cNvPicPr/>
                  </pic:nvPicPr>
                  <pic:blipFill rotWithShape="1">
                    <a:blip r:embed="rId12"/>
                    <a:srcRect l="19044" t="10740" r="16856" b="5269"/>
                    <a:stretch/>
                  </pic:blipFill>
                  <pic:spPr bwMode="auto">
                    <a:xfrm>
                      <a:off x="0" y="0"/>
                      <a:ext cx="6139003" cy="4522695"/>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1778A514" w:rsidR="007D1E76" w:rsidRPr="003F1CCB" w:rsidRDefault="00DE465E" w:rsidP="00CB41C4">
      <w:pPr>
        <w:tabs>
          <w:tab w:val="left" w:leader="underscore" w:pos="9639"/>
        </w:tabs>
        <w:spacing w:after="0" w:line="240" w:lineRule="auto"/>
        <w:jc w:val="both"/>
        <w:rPr>
          <w:rFonts w:cs="Calibri"/>
        </w:rPr>
      </w:pPr>
      <w:r w:rsidRPr="00DE465E">
        <w:rPr>
          <w:rFonts w:cs="Calibri"/>
        </w:rPr>
        <w:t>Esta nota no le aplica al ente público</w:t>
      </w:r>
      <w:r>
        <w:rPr>
          <w:rFonts w:asciiTheme="minorHAnsi" w:hAnsiTheme="minorHAnsi" w:cstheme="minorHAnsi"/>
          <w:b/>
          <w:bCs/>
          <w:sz w:val="24"/>
          <w:szCs w:val="24"/>
        </w:rPr>
        <w:t xml:space="preserve">, </w:t>
      </w:r>
      <w:r>
        <w:rPr>
          <w:rFonts w:cs="Calibri"/>
        </w:rPr>
        <w:t>El instituto no  es fideicomitende o fideicomisario, ni forma parte de mandatos o contratos análogos.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7D8CD0D"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A partir del año 2010 y a través de la Tesorería Municipal y de la Secretaría de Finanzas y Administración del Estado, se comenzó a recibir la capacitación referente al proceso de armonización contable.</w:t>
      </w:r>
    </w:p>
    <w:p w14:paraId="433F31EE"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Desde entonces se ha estado trabajando en la elaboración de nuestro CRI, COG, matriz de conversión y en general todo el procedimiento necesario.</w:t>
      </w:r>
    </w:p>
    <w:p w14:paraId="28CDD80A" w14:textId="77777777" w:rsidR="003F1CCB" w:rsidRDefault="003F1CCB" w:rsidP="003F1CCB">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A partir del ejercicio 2013, la información contable y presupuestal se está generando a través del SAP, cumpliendo de esta manera con la normatividad emitida por el CONAC</w:t>
      </w:r>
    </w:p>
    <w:p w14:paraId="73F52BD1" w14:textId="1F916B4B" w:rsidR="007D1E76" w:rsidRPr="00E74967" w:rsidRDefault="007D1E76" w:rsidP="003F1CCB">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C0C98B9" w14:textId="77777777" w:rsidR="003F1CCB" w:rsidRPr="00BB216F" w:rsidRDefault="003F1CCB" w:rsidP="003F1CCB">
      <w:pPr>
        <w:jc w:val="both"/>
        <w:rPr>
          <w:rFonts w:ascii="Arial" w:hAnsi="Arial" w:cs="Arial"/>
          <w:sz w:val="20"/>
          <w:szCs w:val="20"/>
        </w:rPr>
      </w:pPr>
      <w:r w:rsidRPr="00BB216F">
        <w:rPr>
          <w:rFonts w:ascii="Arial" w:hAnsi="Arial" w:cs="Arial"/>
          <w:sz w:val="20"/>
          <w:szCs w:val="20"/>
        </w:rPr>
        <w:t>Se aplica la normatividad estipulada en los Principios de Contabilidad Generalmente Aceptados y básicamente todo se refleja a valor nominal o histórico.</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BCD463F"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7DD8F00A" w14:textId="77777777" w:rsidR="003F1CCB" w:rsidRDefault="003F1CCB" w:rsidP="003F1CC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se aplica lo conforme al proceso de armonización contable</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B853026"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712D979B" w14:textId="77777777" w:rsidR="003F1CCB" w:rsidRDefault="003F1CCB" w:rsidP="00CB41C4">
      <w:pPr>
        <w:tabs>
          <w:tab w:val="left" w:leader="underscore" w:pos="9639"/>
        </w:tabs>
        <w:spacing w:after="0" w:line="240" w:lineRule="auto"/>
        <w:jc w:val="both"/>
        <w:rPr>
          <w:rFonts w:cs="Calibri"/>
        </w:rPr>
      </w:pPr>
    </w:p>
    <w:p w14:paraId="6BEBABB5" w14:textId="21E534F6"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7D1E1821"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2877BB1E" w14:textId="77777777" w:rsidR="003F1CCB" w:rsidRDefault="003F1CCB" w:rsidP="00CB41C4">
      <w:pPr>
        <w:tabs>
          <w:tab w:val="left" w:leader="underscore" w:pos="9639"/>
        </w:tabs>
        <w:spacing w:after="0" w:line="240" w:lineRule="auto"/>
        <w:jc w:val="both"/>
        <w:rPr>
          <w:rFonts w:cs="Calibri"/>
        </w:rPr>
      </w:pPr>
    </w:p>
    <w:p w14:paraId="756D764B" w14:textId="5A05B82F"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0E28BA5"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E1419E7"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A329B82" w14:textId="77777777" w:rsidR="008264B4" w:rsidRPr="00BB216F" w:rsidRDefault="008264B4" w:rsidP="008264B4">
      <w:pPr>
        <w:jc w:val="both"/>
        <w:rPr>
          <w:rFonts w:ascii="Arial" w:hAnsi="Arial" w:cs="Arial"/>
          <w:sz w:val="20"/>
          <w:szCs w:val="20"/>
        </w:rPr>
      </w:pPr>
      <w:r>
        <w:rPr>
          <w:rFonts w:ascii="Arial" w:hAnsi="Arial" w:cs="Arial"/>
          <w:sz w:val="20"/>
          <w:szCs w:val="20"/>
        </w:rPr>
        <w:t xml:space="preserve">Se aplica conforme a las reglas de registro y valoración del patrimonio. </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24A265C" w14:textId="77777777" w:rsidR="008264B4" w:rsidRPr="00BB216F" w:rsidRDefault="008264B4" w:rsidP="008264B4">
      <w:pPr>
        <w:jc w:val="both"/>
        <w:rPr>
          <w:rFonts w:ascii="Arial" w:hAnsi="Arial" w:cs="Arial"/>
          <w:sz w:val="20"/>
          <w:szCs w:val="20"/>
        </w:rPr>
      </w:pPr>
      <w:r w:rsidRPr="0012405A">
        <w:rPr>
          <w:rFonts w:asciiTheme="minorHAnsi" w:hAnsiTheme="minorHAnsi" w:cstheme="minorHAnsi"/>
          <w:sz w:val="24"/>
          <w:szCs w:val="24"/>
        </w:rPr>
        <w:t>Esta nota no le aplica al ente público</w:t>
      </w:r>
      <w:r>
        <w:rPr>
          <w:rFonts w:ascii="Arial" w:hAnsi="Arial" w:cs="Arial"/>
          <w:sz w:val="20"/>
          <w:szCs w:val="20"/>
        </w:rPr>
        <w:t xml:space="preserve">, no se tienen operaciones con el extranjero. </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4B422D7" w14:textId="77777777" w:rsidR="008264B4" w:rsidRPr="00BB216F" w:rsidRDefault="008264B4" w:rsidP="008264B4">
      <w:pPr>
        <w:jc w:val="both"/>
        <w:rPr>
          <w:rFonts w:ascii="Arial" w:hAnsi="Arial" w:cs="Arial"/>
          <w:sz w:val="20"/>
          <w:szCs w:val="20"/>
        </w:rPr>
      </w:pPr>
      <w:r w:rsidRPr="0012405A">
        <w:rPr>
          <w:rFonts w:asciiTheme="minorHAnsi" w:hAnsiTheme="minorHAnsi" w:cstheme="minorHAnsi"/>
          <w:sz w:val="24"/>
          <w:szCs w:val="24"/>
        </w:rPr>
        <w:t>Esta nota no le aplica al ente público</w:t>
      </w:r>
      <w:r>
        <w:rPr>
          <w:rFonts w:ascii="Arial" w:hAnsi="Arial" w:cs="Arial"/>
          <w:sz w:val="20"/>
          <w:szCs w:val="20"/>
        </w:rPr>
        <w:t>, no hay inversión en acciones de compañías subsidiarias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64DB228" w14:textId="77777777" w:rsidR="008264B4" w:rsidRPr="00BB216F" w:rsidRDefault="008264B4" w:rsidP="008264B4">
      <w:pPr>
        <w:jc w:val="both"/>
        <w:rPr>
          <w:rFonts w:ascii="Arial" w:hAnsi="Arial" w:cs="Arial"/>
          <w:sz w:val="20"/>
          <w:szCs w:val="20"/>
        </w:rPr>
      </w:pPr>
      <w:r w:rsidRPr="00BB216F">
        <w:rPr>
          <w:rFonts w:ascii="Arial" w:hAnsi="Arial" w:cs="Arial"/>
          <w:sz w:val="20"/>
          <w:szCs w:val="20"/>
        </w:rPr>
        <w:t>Se utiliza el Sistema de Inventario Perpetuo con Método de Valuación a Valor Histórico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0926FE6D" w:rsidR="007D1E76" w:rsidRDefault="008264B4"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cuenta con reserva actuarial.</w:t>
      </w:r>
    </w:p>
    <w:p w14:paraId="4DA7E039" w14:textId="77777777" w:rsidR="008264B4" w:rsidRPr="00E74967" w:rsidRDefault="008264B4"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4CFD72C" w14:textId="77777777" w:rsidR="008264B4" w:rsidRPr="00BB216F" w:rsidRDefault="008264B4" w:rsidP="008264B4">
      <w:pPr>
        <w:jc w:val="both"/>
        <w:rPr>
          <w:rFonts w:ascii="Arial" w:hAnsi="Arial" w:cs="Arial"/>
          <w:sz w:val="20"/>
          <w:szCs w:val="20"/>
        </w:rPr>
      </w:pPr>
      <w:r>
        <w:rPr>
          <w:rFonts w:ascii="Arial" w:hAnsi="Arial" w:cs="Arial"/>
          <w:sz w:val="20"/>
          <w:szCs w:val="20"/>
        </w:rPr>
        <w:t>Se realiza conforme a los lineamientos establecidos por la ley de contabilidad gubernamental</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B7FACD1" w14:textId="77777777" w:rsidR="008264B4" w:rsidRPr="00BB216F" w:rsidRDefault="008264B4" w:rsidP="008264B4">
      <w:pPr>
        <w:jc w:val="both"/>
        <w:rPr>
          <w:rFonts w:ascii="Arial" w:hAnsi="Arial" w:cs="Arial"/>
          <w:sz w:val="20"/>
          <w:szCs w:val="20"/>
        </w:rPr>
      </w:pPr>
      <w:r>
        <w:rPr>
          <w:rFonts w:ascii="Arial" w:hAnsi="Arial" w:cs="Arial"/>
          <w:sz w:val="20"/>
          <w:szCs w:val="20"/>
        </w:rPr>
        <w:t>Se realiza conforme a los lineamientos establecidos por la ley de contabilidad gubernamental</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6C86FA" w14:textId="77777777" w:rsidR="008264B4" w:rsidRPr="00BB216F" w:rsidRDefault="008264B4" w:rsidP="008264B4">
      <w:pPr>
        <w:jc w:val="both"/>
        <w:rPr>
          <w:rFonts w:ascii="Arial" w:hAnsi="Arial" w:cs="Arial"/>
          <w:sz w:val="20"/>
          <w:szCs w:val="20"/>
        </w:rPr>
      </w:pPr>
      <w:r>
        <w:rPr>
          <w:rFonts w:ascii="Arial" w:hAnsi="Arial" w:cs="Arial"/>
          <w:sz w:val="20"/>
          <w:szCs w:val="20"/>
        </w:rPr>
        <w:t xml:space="preserve">A partir del ejercicio 2016 se realizo la aplicación conforme a ley del reconocimiento de ingresos presupuestales-contables, por lo cual se vio afectado el patrimonio y resultados de ejercicios anteriores, esto conforme a las normas y metodología para la determinación de los momentos contables de ingresos.  </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3E5DCFB6" w:rsidR="007D1E76" w:rsidRPr="00E74967" w:rsidRDefault="008264B4" w:rsidP="00CB41C4">
      <w:pPr>
        <w:tabs>
          <w:tab w:val="left" w:leader="underscore" w:pos="9639"/>
        </w:tabs>
        <w:spacing w:after="0" w:line="240" w:lineRule="auto"/>
        <w:jc w:val="both"/>
        <w:rPr>
          <w:rFonts w:cs="Calibri"/>
        </w:rPr>
      </w:pPr>
      <w:r>
        <w:rPr>
          <w:rFonts w:asciiTheme="minorHAnsi" w:hAnsiTheme="minorHAnsi" w:cstheme="minorHAnsi"/>
          <w:sz w:val="24"/>
          <w:szCs w:val="24"/>
        </w:rPr>
        <w:t xml:space="preserve">Se hace reclasificaciones conforme a lo establecido en la </w:t>
      </w:r>
      <w:r w:rsidR="009D5690">
        <w:rPr>
          <w:rFonts w:asciiTheme="minorHAnsi" w:hAnsiTheme="minorHAnsi" w:cstheme="minorHAnsi"/>
          <w:sz w:val="24"/>
          <w:szCs w:val="24"/>
        </w:rPr>
        <w:t>Armonización</w:t>
      </w:r>
      <w:r>
        <w:rPr>
          <w:rFonts w:asciiTheme="minorHAnsi" w:hAnsiTheme="minorHAnsi" w:cstheme="minorHAnsi"/>
          <w:sz w:val="24"/>
          <w:szCs w:val="24"/>
        </w:rPr>
        <w:t xml:space="preserve"> contable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88393D1"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 realiza depuración de saldos anualmente y cancelación de saldos de cuentas por cobrar derivadas de los créditos a los beneficiarios, esto último derivado de sentencia o renuncia voluntaria.  </w:t>
      </w:r>
    </w:p>
    <w:p w14:paraId="051C6058" w14:textId="77777777" w:rsidR="00E00323" w:rsidRDefault="00E00323" w:rsidP="00CB41C4">
      <w:pPr>
        <w:tabs>
          <w:tab w:val="left" w:leader="underscore" w:pos="9639"/>
        </w:tabs>
        <w:spacing w:after="0" w:line="240" w:lineRule="auto"/>
        <w:jc w:val="both"/>
        <w:rPr>
          <w:rFonts w:cs="Calibri"/>
        </w:rPr>
      </w:pPr>
    </w:p>
    <w:p w14:paraId="22575DFD" w14:textId="77777777" w:rsidR="008264B4" w:rsidRPr="00E74967" w:rsidRDefault="008264B4"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A4427A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05A1203"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8738BB4"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B977F3D"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011B6E8C" w14:textId="347F882A"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754790D6"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37149782" w14:textId="77777777" w:rsidR="008264B4" w:rsidRDefault="008264B4" w:rsidP="00CB41C4">
      <w:pPr>
        <w:tabs>
          <w:tab w:val="left" w:leader="underscore" w:pos="9639"/>
        </w:tabs>
        <w:spacing w:after="0" w:line="240" w:lineRule="auto"/>
        <w:jc w:val="both"/>
        <w:rPr>
          <w:rFonts w:cs="Calibri"/>
        </w:rPr>
      </w:pPr>
    </w:p>
    <w:p w14:paraId="01728175" w14:textId="7C507E92"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A560E9C"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Los porcentajes de depreciación y vida útil utilizados son los siguientes:</w:t>
      </w:r>
    </w:p>
    <w:p w14:paraId="427B492B"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Mobiliario y Equipo de Oficina: 10% - 10 años</w:t>
      </w:r>
    </w:p>
    <w:p w14:paraId="0EB2CFF0"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Equipo de Cómputo:</w:t>
      </w:r>
      <w:r w:rsidRPr="00BB216F">
        <w:rPr>
          <w:rFonts w:ascii="Arial" w:hAnsi="Arial" w:cs="Arial"/>
          <w:sz w:val="20"/>
          <w:szCs w:val="20"/>
        </w:rPr>
        <w:tab/>
      </w:r>
      <w:r w:rsidRPr="00BB216F">
        <w:rPr>
          <w:rFonts w:ascii="Arial" w:hAnsi="Arial" w:cs="Arial"/>
          <w:sz w:val="20"/>
          <w:szCs w:val="20"/>
        </w:rPr>
        <w:tab/>
        <w:t>30% - 3.33 años</w:t>
      </w:r>
    </w:p>
    <w:p w14:paraId="7CDFF171"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Equipo de Transporte:</w:t>
      </w:r>
      <w:r w:rsidRPr="00BB216F">
        <w:rPr>
          <w:rFonts w:ascii="Arial" w:hAnsi="Arial" w:cs="Arial"/>
          <w:sz w:val="20"/>
          <w:szCs w:val="20"/>
        </w:rPr>
        <w:tab/>
      </w:r>
      <w:r w:rsidRPr="00BB216F">
        <w:rPr>
          <w:rFonts w:ascii="Arial" w:hAnsi="Arial" w:cs="Arial"/>
          <w:sz w:val="20"/>
          <w:szCs w:val="20"/>
        </w:rPr>
        <w:tab/>
        <w:t>25% - 4 años</w:t>
      </w:r>
    </w:p>
    <w:p w14:paraId="2B914A04" w14:textId="3F6611D9" w:rsidR="007D1E76" w:rsidRDefault="008264B4" w:rsidP="00CB41C4">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Equipo de Comunicación:</w:t>
      </w:r>
      <w:r>
        <w:rPr>
          <w:rFonts w:ascii="Arial" w:hAnsi="Arial" w:cs="Arial"/>
          <w:sz w:val="20"/>
          <w:szCs w:val="20"/>
        </w:rPr>
        <w:t xml:space="preserve">          </w:t>
      </w:r>
      <w:r w:rsidRPr="00BB216F">
        <w:rPr>
          <w:rFonts w:ascii="Arial" w:hAnsi="Arial" w:cs="Arial"/>
          <w:sz w:val="20"/>
          <w:szCs w:val="20"/>
        </w:rPr>
        <w:t>10% - 10 años</w:t>
      </w:r>
    </w:p>
    <w:p w14:paraId="08D2C550" w14:textId="77777777" w:rsidR="008264B4" w:rsidRPr="00E74967" w:rsidRDefault="008264B4"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23A3A30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han cambiado los lineamientos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BB9E20E"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son actividades propias del instituto.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06506360" w:rsidR="007D1E76" w:rsidRDefault="008264B4"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Al tener inversión a plazo y tasa fija, se considera un riesgo derivado del coste de oportunidad en la variación del tipo de interés.</w:t>
      </w:r>
    </w:p>
    <w:p w14:paraId="106F5888" w14:textId="77777777" w:rsidR="008264B4" w:rsidRPr="00E74967" w:rsidRDefault="008264B4"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7FB31BD" w14:textId="77777777" w:rsidR="008264B4" w:rsidRDefault="008264B4" w:rsidP="008264B4">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88CACF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lastRenderedPageBreak/>
        <w:t>Esta nota no le aplica al ente público</w:t>
      </w:r>
      <w:r>
        <w:rPr>
          <w:rFonts w:asciiTheme="minorHAnsi" w:hAnsiTheme="minorHAnsi" w:cstheme="minorHAnsi"/>
          <w:sz w:val="24"/>
          <w:szCs w:val="24"/>
        </w:rPr>
        <w:t xml:space="preserve">, no han habido circunstancias que afecten el activo. </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4AFD5C3" w14:textId="77777777" w:rsidR="008264B4" w:rsidRPr="005D4A9B" w:rsidRDefault="008264B4" w:rsidP="008264B4">
      <w:pPr>
        <w:tabs>
          <w:tab w:val="left" w:leader="underscore" w:pos="9639"/>
        </w:tabs>
        <w:spacing w:after="0" w:line="240" w:lineRule="auto"/>
        <w:jc w:val="both"/>
        <w:rPr>
          <w:rFonts w:asciiTheme="minorHAnsi" w:hAnsiTheme="minorHAnsi" w:cstheme="minorHAnsi"/>
          <w:sz w:val="24"/>
          <w:szCs w:val="24"/>
        </w:rPr>
      </w:pPr>
      <w:r w:rsidRPr="005D4A9B">
        <w:rPr>
          <w:rFonts w:asciiTheme="minorHAnsi" w:hAnsiTheme="minorHAnsi" w:cstheme="minorHAnsi"/>
          <w:sz w:val="24"/>
          <w:szCs w:val="24"/>
        </w:rPr>
        <w:t>Esta nota no le aplica al ente público, no ha</w:t>
      </w:r>
      <w:r>
        <w:rPr>
          <w:rFonts w:asciiTheme="minorHAnsi" w:hAnsiTheme="minorHAnsi" w:cstheme="minorHAnsi"/>
          <w:sz w:val="24"/>
          <w:szCs w:val="24"/>
        </w:rPr>
        <w:t>n habido</w:t>
      </w:r>
      <w:r w:rsidRPr="005D4A9B">
        <w:rPr>
          <w:rFonts w:asciiTheme="minorHAnsi" w:hAnsiTheme="minorHAnsi" w:cstheme="minorHAnsi"/>
          <w:sz w:val="24"/>
          <w:szCs w:val="24"/>
        </w:rPr>
        <w:t xml:space="preserve"> desmantelamiento de activos, </w:t>
      </w:r>
    </w:p>
    <w:p w14:paraId="78A88A3B" w14:textId="77777777" w:rsidR="008264B4" w:rsidRPr="00E74967" w:rsidRDefault="008264B4" w:rsidP="008264B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BA52C46"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Control y uso de inventarios. </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5EC15B4"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Inversiones Bancarias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A78AD4D"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hay participación de patrimonio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FD900A0"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F659572"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493DD261" w:rsidR="007D1E76" w:rsidRPr="00E74967" w:rsidRDefault="008264B4"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hay participación de patrimonio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C45F117" w14:textId="3C9F5C9B"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instituto no forma parte de un fideicomiso</w:t>
      </w:r>
    </w:p>
    <w:p w14:paraId="2010752E" w14:textId="223EF226"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7905955"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instituto no forma parte de un fideicomiso</w:t>
      </w:r>
    </w:p>
    <w:p w14:paraId="796DC854" w14:textId="347C172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E8583D5" w14:textId="2BE12A8A"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La recaudación de ingresos promedio de Enero-</w:t>
      </w:r>
      <w:r w:rsidR="00E0229C">
        <w:rPr>
          <w:rFonts w:asciiTheme="minorHAnsi" w:hAnsiTheme="minorHAnsi" w:cstheme="minorHAnsi"/>
          <w:sz w:val="24"/>
          <w:szCs w:val="24"/>
        </w:rPr>
        <w:t xml:space="preserve"> Marzo</w:t>
      </w:r>
      <w:r>
        <w:rPr>
          <w:rFonts w:asciiTheme="minorHAnsi" w:hAnsiTheme="minorHAnsi" w:cstheme="minorHAnsi"/>
          <w:sz w:val="24"/>
          <w:szCs w:val="24"/>
        </w:rPr>
        <w:t xml:space="preserve"> fue conforme a lo proyectado en el pronóstico de ingresos. </w:t>
      </w:r>
    </w:p>
    <w:p w14:paraId="6CAD4E54" w14:textId="2AAEC9EE" w:rsidR="007D1E76" w:rsidRPr="00E74967" w:rsidRDefault="007D1E76"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74C15A5" w14:textId="7F630E96" w:rsidR="00DE465E" w:rsidRDefault="00DE465E" w:rsidP="00DE465E">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 </w:t>
      </w:r>
      <w:r w:rsidR="001842C7">
        <w:rPr>
          <w:rFonts w:asciiTheme="minorHAnsi" w:hAnsiTheme="minorHAnsi" w:cstheme="minorHAnsi"/>
          <w:sz w:val="24"/>
          <w:szCs w:val="24"/>
        </w:rPr>
        <w:t>cumplió</w:t>
      </w:r>
      <w:r>
        <w:rPr>
          <w:rFonts w:asciiTheme="minorHAnsi" w:hAnsiTheme="minorHAnsi" w:cstheme="minorHAnsi"/>
          <w:sz w:val="24"/>
          <w:szCs w:val="24"/>
        </w:rPr>
        <w:t xml:space="preserve"> con lo proyectado en el ingreso presupuestado. </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CFD014" w14:textId="77777777" w:rsidR="00DE465E" w:rsidRPr="00E74967" w:rsidRDefault="00DE465E" w:rsidP="00DE465E">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 habido transacción de carácter crediticio. </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6E1525C" w14:textId="3A9CAC94" w:rsidR="00DE465E" w:rsidRDefault="00DE465E" w:rsidP="00DE465E">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 xml:space="preserve">En general, nos apegamos a los Lineamientos Generales de Racionalidad, Austeridad y Disciplina Presupuestal aprobados por el </w:t>
      </w:r>
      <w:r>
        <w:rPr>
          <w:rFonts w:ascii="Arial" w:hAnsi="Arial" w:cs="Arial"/>
          <w:sz w:val="20"/>
          <w:szCs w:val="20"/>
        </w:rPr>
        <w:t>Consejo Directivo del año 2024</w:t>
      </w:r>
    </w:p>
    <w:p w14:paraId="0CEE5F11" w14:textId="77777777" w:rsidR="00DE465E" w:rsidRDefault="00DE465E" w:rsidP="00CB41C4">
      <w:pPr>
        <w:tabs>
          <w:tab w:val="left" w:leader="underscore" w:pos="9639"/>
        </w:tabs>
        <w:spacing w:after="0" w:line="240" w:lineRule="auto"/>
        <w:jc w:val="both"/>
        <w:rPr>
          <w:rFonts w:cs="Calibri"/>
          <w:b/>
        </w:rPr>
      </w:pPr>
    </w:p>
    <w:p w14:paraId="59CFF4B2" w14:textId="53A21AE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BB8FC12" w14:textId="77777777" w:rsidR="00DE465E" w:rsidRPr="00E74967" w:rsidRDefault="00DE465E" w:rsidP="00DE465E">
      <w:pPr>
        <w:tabs>
          <w:tab w:val="left" w:leader="underscore" w:pos="9639"/>
        </w:tabs>
        <w:spacing w:after="0" w:line="240" w:lineRule="auto"/>
        <w:jc w:val="both"/>
        <w:rPr>
          <w:rFonts w:cs="Calibri"/>
        </w:rPr>
      </w:pPr>
      <w:r>
        <w:rPr>
          <w:rFonts w:cs="Calibri"/>
        </w:rPr>
        <w:t>Conforme al PBR</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Consecuentemente, esta información contribuye al análisis más preciso de la situación financiera, grados y fuentes de riesgo y crec</w:t>
      </w:r>
      <w:r w:rsidR="005E231E" w:rsidRPr="00E74967">
        <w:rPr>
          <w:rFonts w:cs="Calibri"/>
        </w:rPr>
        <w:t>imiento potencial de negocio.</w:t>
      </w:r>
    </w:p>
    <w:p w14:paraId="4054793D" w14:textId="712DF58A" w:rsidR="007D1E76" w:rsidRPr="00DE465E" w:rsidRDefault="00DE465E" w:rsidP="00CB41C4">
      <w:pPr>
        <w:tabs>
          <w:tab w:val="left" w:leader="underscore" w:pos="9639"/>
        </w:tabs>
        <w:spacing w:after="0" w:line="240" w:lineRule="auto"/>
        <w:jc w:val="both"/>
        <w:rPr>
          <w:rFonts w:cs="Calibri"/>
          <w:b/>
          <w:bCs/>
        </w:rPr>
      </w:pPr>
      <w:r>
        <w:rPr>
          <w:rFonts w:cs="Calibri"/>
          <w:b/>
          <w:bCs/>
        </w:rPr>
        <w:t>No se presenta información financiera segmentada</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3445C2FF"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DE465E">
        <w:rPr>
          <w:rFonts w:cs="Calibri"/>
        </w:rPr>
        <w:t>No se realizaron movimientos o eventos posteriores al cierre</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A2ACBB1" w:rsidR="007D1E76" w:rsidRPr="00E74967" w:rsidRDefault="00DE465E" w:rsidP="00CB41C4">
      <w:pPr>
        <w:tabs>
          <w:tab w:val="left" w:leader="underscore" w:pos="9639"/>
        </w:tabs>
        <w:spacing w:after="0" w:line="240" w:lineRule="auto"/>
        <w:jc w:val="both"/>
        <w:rPr>
          <w:rFonts w:cs="Calibri"/>
        </w:rPr>
      </w:pPr>
      <w:r>
        <w:rPr>
          <w:rFonts w:cs="Calibri"/>
        </w:rPr>
        <w:t>No existen</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74D16815" w14:textId="64A94E57" w:rsidR="00D5018E" w:rsidRPr="00E74967" w:rsidRDefault="00D5018E" w:rsidP="00CB41C4">
      <w:pPr>
        <w:tabs>
          <w:tab w:val="left" w:leader="underscore" w:pos="9639"/>
        </w:tabs>
        <w:spacing w:after="0" w:line="240" w:lineRule="auto"/>
        <w:jc w:val="both"/>
        <w:rPr>
          <w:rFonts w:cs="Calibri"/>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BA327C">
        <w:rPr>
          <w:rFonts w:asciiTheme="minorHAnsi" w:hAnsiTheme="minorHAnsi" w:cstheme="minorHAnsi"/>
          <w:sz w:val="24"/>
          <w:szCs w:val="24"/>
        </w:rPr>
        <w:t>3</w:t>
      </w:r>
      <w:r w:rsidR="00D725E5">
        <w:rPr>
          <w:rFonts w:asciiTheme="minorHAnsi" w:hAnsiTheme="minorHAnsi" w:cstheme="minorHAnsi"/>
          <w:sz w:val="24"/>
          <w:szCs w:val="24"/>
        </w:rPr>
        <w:t>0</w:t>
      </w:r>
      <w:r w:rsidR="00BA327C">
        <w:rPr>
          <w:rFonts w:asciiTheme="minorHAnsi" w:hAnsiTheme="minorHAnsi" w:cstheme="minorHAnsi"/>
          <w:sz w:val="24"/>
          <w:szCs w:val="24"/>
        </w:rPr>
        <w:t>/</w:t>
      </w:r>
      <w:r w:rsidR="00E0229C">
        <w:rPr>
          <w:rFonts w:asciiTheme="minorHAnsi" w:hAnsiTheme="minorHAnsi" w:cstheme="minorHAnsi"/>
          <w:sz w:val="24"/>
          <w:szCs w:val="24"/>
        </w:rPr>
        <w:t>0</w:t>
      </w:r>
      <w:r w:rsidR="00D725E5">
        <w:rPr>
          <w:rFonts w:asciiTheme="minorHAnsi" w:hAnsiTheme="minorHAnsi" w:cstheme="minorHAnsi"/>
          <w:sz w:val="24"/>
          <w:szCs w:val="24"/>
        </w:rPr>
        <w:t>6</w:t>
      </w:r>
      <w:r w:rsidR="00E0229C">
        <w:rPr>
          <w:rFonts w:asciiTheme="minorHAnsi" w:hAnsiTheme="minorHAnsi" w:cstheme="minorHAnsi"/>
          <w:sz w:val="24"/>
          <w:szCs w:val="24"/>
        </w:rPr>
        <w:t>/2025</w:t>
      </w:r>
    </w:p>
    <w:sectPr w:rsidR="00D5018E" w:rsidRPr="00E74967" w:rsidSect="003F1654">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686F" w14:textId="77777777" w:rsidR="004224C0" w:rsidRDefault="004224C0" w:rsidP="00E00323">
      <w:pPr>
        <w:spacing w:after="0" w:line="240" w:lineRule="auto"/>
      </w:pPr>
      <w:r>
        <w:separator/>
      </w:r>
    </w:p>
  </w:endnote>
  <w:endnote w:type="continuationSeparator" w:id="0">
    <w:p w14:paraId="26F7B1BA" w14:textId="77777777" w:rsidR="004224C0" w:rsidRDefault="004224C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2351" w14:textId="77777777" w:rsidR="004224C0" w:rsidRDefault="004224C0" w:rsidP="00E00323">
      <w:pPr>
        <w:spacing w:after="0" w:line="240" w:lineRule="auto"/>
      </w:pPr>
      <w:r>
        <w:separator/>
      </w:r>
    </w:p>
  </w:footnote>
  <w:footnote w:type="continuationSeparator" w:id="0">
    <w:p w14:paraId="76AE77D9" w14:textId="77777777" w:rsidR="004224C0" w:rsidRDefault="004224C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0222B8A9" w:rsidR="00154BA3" w:rsidRDefault="007C660F" w:rsidP="00A4610E">
    <w:pPr>
      <w:pStyle w:val="Encabezado"/>
      <w:spacing w:after="0" w:line="240" w:lineRule="auto"/>
      <w:jc w:val="center"/>
    </w:pPr>
    <w:r>
      <w:t>INSTITUTO MUNICIPAL DE VIVIENDA DE IRAPUATO, GTO</w:t>
    </w:r>
  </w:p>
  <w:p w14:paraId="651A4C4F" w14:textId="70819F38" w:rsidR="00A4610E" w:rsidRDefault="00A4610E" w:rsidP="00A4610E">
    <w:pPr>
      <w:pStyle w:val="Encabezado"/>
      <w:spacing w:after="0" w:line="240" w:lineRule="auto"/>
      <w:jc w:val="center"/>
    </w:pPr>
    <w:r w:rsidRPr="00A4610E">
      <w:t>CORRESPONDI</w:t>
    </w:r>
    <w:r w:rsidR="00DD018C">
      <w:t>E</w:t>
    </w:r>
    <w:r w:rsidRPr="00A4610E">
      <w:t xml:space="preserve">NTES AL </w:t>
    </w:r>
    <w:r w:rsidR="00E0229C">
      <w:t>3</w:t>
    </w:r>
    <w:r w:rsidR="004831EB">
      <w:t>0</w:t>
    </w:r>
    <w:r w:rsidR="00E0229C">
      <w:t xml:space="preserve"> DE </w:t>
    </w:r>
    <w:r w:rsidR="004831EB">
      <w:t>JUNIO</w:t>
    </w:r>
    <w:r w:rsidR="00E0229C">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6958"/>
    <w:rsid w:val="000310EF"/>
    <w:rsid w:val="00040D4F"/>
    <w:rsid w:val="00084EAE"/>
    <w:rsid w:val="00091CE6"/>
    <w:rsid w:val="000B7810"/>
    <w:rsid w:val="000C3365"/>
    <w:rsid w:val="00106EE9"/>
    <w:rsid w:val="00117D1D"/>
    <w:rsid w:val="0012405A"/>
    <w:rsid w:val="0012493A"/>
    <w:rsid w:val="00144F27"/>
    <w:rsid w:val="00154BA3"/>
    <w:rsid w:val="001842C7"/>
    <w:rsid w:val="001973A2"/>
    <w:rsid w:val="001C34BC"/>
    <w:rsid w:val="001C710C"/>
    <w:rsid w:val="001C75F2"/>
    <w:rsid w:val="001D2063"/>
    <w:rsid w:val="001D290B"/>
    <w:rsid w:val="001D43E9"/>
    <w:rsid w:val="001E222C"/>
    <w:rsid w:val="00231FBE"/>
    <w:rsid w:val="00232175"/>
    <w:rsid w:val="0024740E"/>
    <w:rsid w:val="002722DD"/>
    <w:rsid w:val="00274E2D"/>
    <w:rsid w:val="00295B72"/>
    <w:rsid w:val="002E2ECF"/>
    <w:rsid w:val="00303A61"/>
    <w:rsid w:val="00310C3F"/>
    <w:rsid w:val="003453CA"/>
    <w:rsid w:val="00396D53"/>
    <w:rsid w:val="003E6C64"/>
    <w:rsid w:val="003F1654"/>
    <w:rsid w:val="003F1CCB"/>
    <w:rsid w:val="004224C0"/>
    <w:rsid w:val="0043078C"/>
    <w:rsid w:val="00435A87"/>
    <w:rsid w:val="004831EB"/>
    <w:rsid w:val="004A1077"/>
    <w:rsid w:val="004A58C8"/>
    <w:rsid w:val="004F234D"/>
    <w:rsid w:val="004F6FAC"/>
    <w:rsid w:val="005053EE"/>
    <w:rsid w:val="005110DD"/>
    <w:rsid w:val="00516100"/>
    <w:rsid w:val="00516A8F"/>
    <w:rsid w:val="00540261"/>
    <w:rsid w:val="0054701E"/>
    <w:rsid w:val="005B5531"/>
    <w:rsid w:val="005D3E43"/>
    <w:rsid w:val="005E231E"/>
    <w:rsid w:val="005F2900"/>
    <w:rsid w:val="005F51CC"/>
    <w:rsid w:val="0062260E"/>
    <w:rsid w:val="006339DE"/>
    <w:rsid w:val="0064059E"/>
    <w:rsid w:val="00657009"/>
    <w:rsid w:val="00681C79"/>
    <w:rsid w:val="006B1ADF"/>
    <w:rsid w:val="006F0687"/>
    <w:rsid w:val="006F77A8"/>
    <w:rsid w:val="00742BE2"/>
    <w:rsid w:val="007610BC"/>
    <w:rsid w:val="007714AB"/>
    <w:rsid w:val="007774D6"/>
    <w:rsid w:val="007B212F"/>
    <w:rsid w:val="007C660F"/>
    <w:rsid w:val="007D17FB"/>
    <w:rsid w:val="007D1E76"/>
    <w:rsid w:val="007D4484"/>
    <w:rsid w:val="007E38A2"/>
    <w:rsid w:val="007F699D"/>
    <w:rsid w:val="00806269"/>
    <w:rsid w:val="008264B4"/>
    <w:rsid w:val="0086420E"/>
    <w:rsid w:val="0086459F"/>
    <w:rsid w:val="008C3BB8"/>
    <w:rsid w:val="008E076C"/>
    <w:rsid w:val="00914E3B"/>
    <w:rsid w:val="0092765C"/>
    <w:rsid w:val="009419D1"/>
    <w:rsid w:val="00967DDA"/>
    <w:rsid w:val="009736CB"/>
    <w:rsid w:val="009D5690"/>
    <w:rsid w:val="009D7F6E"/>
    <w:rsid w:val="00A4610E"/>
    <w:rsid w:val="00A6346D"/>
    <w:rsid w:val="00A730E0"/>
    <w:rsid w:val="00AA2768"/>
    <w:rsid w:val="00AA41E5"/>
    <w:rsid w:val="00AB722B"/>
    <w:rsid w:val="00AC4727"/>
    <w:rsid w:val="00AE1F6A"/>
    <w:rsid w:val="00AF4375"/>
    <w:rsid w:val="00B073DE"/>
    <w:rsid w:val="00B24FD9"/>
    <w:rsid w:val="00B6368B"/>
    <w:rsid w:val="00BA327C"/>
    <w:rsid w:val="00BA53FE"/>
    <w:rsid w:val="00BE02EB"/>
    <w:rsid w:val="00C232AF"/>
    <w:rsid w:val="00C4250B"/>
    <w:rsid w:val="00C4625D"/>
    <w:rsid w:val="00C54C12"/>
    <w:rsid w:val="00C555CF"/>
    <w:rsid w:val="00C82E11"/>
    <w:rsid w:val="00C93C67"/>
    <w:rsid w:val="00C97E1E"/>
    <w:rsid w:val="00CB41C4"/>
    <w:rsid w:val="00CF1316"/>
    <w:rsid w:val="00D13C44"/>
    <w:rsid w:val="00D32331"/>
    <w:rsid w:val="00D40FC2"/>
    <w:rsid w:val="00D5018E"/>
    <w:rsid w:val="00D546B2"/>
    <w:rsid w:val="00D725E5"/>
    <w:rsid w:val="00D975B1"/>
    <w:rsid w:val="00DD018C"/>
    <w:rsid w:val="00DE465E"/>
    <w:rsid w:val="00E00323"/>
    <w:rsid w:val="00E0229C"/>
    <w:rsid w:val="00E11758"/>
    <w:rsid w:val="00E712D0"/>
    <w:rsid w:val="00E74967"/>
    <w:rsid w:val="00E7559F"/>
    <w:rsid w:val="00E85520"/>
    <w:rsid w:val="00E9132F"/>
    <w:rsid w:val="00EA37F5"/>
    <w:rsid w:val="00EA7915"/>
    <w:rsid w:val="00ED7AA0"/>
    <w:rsid w:val="00F04DA9"/>
    <w:rsid w:val="00F067C8"/>
    <w:rsid w:val="00F10CAC"/>
    <w:rsid w:val="00F43AC5"/>
    <w:rsid w:val="00F46719"/>
    <w:rsid w:val="00F54F6F"/>
    <w:rsid w:val="00F6102D"/>
    <w:rsid w:val="00F65A92"/>
    <w:rsid w:val="00F6759B"/>
    <w:rsid w:val="00FA7477"/>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3320</Words>
  <Characters>18262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21539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DAF</cp:lastModifiedBy>
  <cp:revision>4</cp:revision>
  <cp:lastPrinted>2024-04-10T18:58:00Z</cp:lastPrinted>
  <dcterms:created xsi:type="dcterms:W3CDTF">2025-04-08T16:38:00Z</dcterms:created>
  <dcterms:modified xsi:type="dcterms:W3CDTF">2025-07-09T15:49:00Z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